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BEF15">
      <w:pPr>
        <w:pStyle w:val="52"/>
        <w:spacing w:before="2610" w:beforeLines="600"/>
        <w:rPr>
          <w:sz w:val="60"/>
          <w:szCs w:val="60"/>
        </w:rPr>
      </w:pPr>
      <w:bookmarkStart w:id="0" w:name="_Hlk136978614"/>
      <w:bookmarkStart w:id="1" w:name="_Toc524533228"/>
      <w:bookmarkStart w:id="2" w:name="_Toc524009445"/>
      <w:bookmarkStart w:id="3" w:name="_Toc524013638"/>
      <w:bookmarkStart w:id="4" w:name="_Toc523122404"/>
      <w:bookmarkStart w:id="5" w:name="_Toc520444614"/>
      <w:bookmarkStart w:id="6" w:name="_Toc524029906"/>
      <w:bookmarkStart w:id="7" w:name="_Toc523673451"/>
      <w:bookmarkStart w:id="8" w:name="_Toc521163167"/>
      <w:bookmarkStart w:id="9" w:name="_Toc520431500"/>
      <w:bookmarkStart w:id="10" w:name="_Toc524009298"/>
      <w:bookmarkStart w:id="11" w:name="_Toc524013410"/>
      <w:bookmarkStart w:id="12" w:name="_Toc530001824"/>
      <w:bookmarkStart w:id="13" w:name="_Toc521234190"/>
      <w:bookmarkStart w:id="14" w:name="_Toc521225941"/>
      <w:bookmarkStart w:id="15" w:name="_Toc523651022"/>
      <w:bookmarkStart w:id="16" w:name="_Toc520425314"/>
      <w:bookmarkStart w:id="17" w:name="_Toc524043421"/>
      <w:bookmarkStart w:id="18" w:name="_Toc523399432"/>
      <w:bookmarkStart w:id="19" w:name="_Toc524422144"/>
      <w:bookmarkStart w:id="20" w:name="_Toc523666070"/>
      <w:bookmarkStart w:id="21" w:name="_Toc524549989"/>
      <w:bookmarkStart w:id="22" w:name="_Toc520445148"/>
      <w:bookmarkStart w:id="23" w:name="_Toc530050951"/>
      <w:bookmarkStart w:id="24" w:name="_Toc524002173"/>
      <w:bookmarkStart w:id="25" w:name="_Toc524026442"/>
      <w:bookmarkStart w:id="26" w:name="_Toc523282959"/>
      <w:bookmarkStart w:id="27" w:name="_Toc521149787"/>
      <w:bookmarkStart w:id="28" w:name="_Toc524382326"/>
      <w:bookmarkStart w:id="29" w:name="_Toc523651611"/>
      <w:bookmarkStart w:id="30" w:name="_Toc525903731"/>
      <w:bookmarkStart w:id="31" w:name="_Toc523757960"/>
      <w:bookmarkStart w:id="32" w:name="_Toc521149847"/>
      <w:bookmarkStart w:id="33" w:name="_Toc524625980"/>
      <w:bookmarkStart w:id="34" w:name="_Toc524553495"/>
      <w:bookmarkStart w:id="35" w:name="_Toc525833711"/>
      <w:bookmarkStart w:id="36" w:name="_Toc524008522"/>
      <w:bookmarkStart w:id="37" w:name="_Toc524422085"/>
      <w:bookmarkStart w:id="38" w:name="_Toc524041065"/>
      <w:bookmarkStart w:id="39" w:name="_Toc523429422"/>
      <w:r>
        <w:rPr>
          <w:rFonts w:hint="eastAsia"/>
          <w:sz w:val="60"/>
          <w:szCs w:val="60"/>
        </w:rPr>
        <w:t>香河县国土空间总体规划</w:t>
      </w:r>
    </w:p>
    <w:p w14:paraId="126FEE1F">
      <w:pPr>
        <w:pStyle w:val="52"/>
        <w:rPr>
          <w:sz w:val="60"/>
          <w:szCs w:val="60"/>
        </w:rPr>
      </w:pPr>
      <w:r>
        <w:rPr>
          <w:rFonts w:hint="eastAsia"/>
          <w:sz w:val="60"/>
          <w:szCs w:val="60"/>
        </w:rPr>
        <w:t>（</w:t>
      </w:r>
      <w:r>
        <w:rPr>
          <w:rFonts w:ascii="Times New Roman"/>
          <w:sz w:val="60"/>
          <w:szCs w:val="60"/>
        </w:rPr>
        <w:t>2021</w:t>
      </w:r>
      <w:r>
        <w:rPr>
          <w:sz w:val="60"/>
          <w:szCs w:val="60"/>
        </w:rPr>
        <w:t>—</w:t>
      </w:r>
      <w:r>
        <w:rPr>
          <w:rFonts w:ascii="Times New Roman"/>
          <w:sz w:val="60"/>
          <w:szCs w:val="60"/>
        </w:rPr>
        <w:t>2035</w:t>
      </w:r>
      <w:r>
        <w:rPr>
          <w:rFonts w:hint="eastAsia"/>
          <w:sz w:val="60"/>
          <w:szCs w:val="60"/>
        </w:rPr>
        <w:t>年）</w:t>
      </w:r>
    </w:p>
    <w:p w14:paraId="6B0EC78B">
      <w:pPr>
        <w:pStyle w:val="66"/>
        <w:rPr>
          <w:rFonts w:hint="eastAsia"/>
        </w:rPr>
      </w:pPr>
    </w:p>
    <w:p w14:paraId="310A06C0">
      <w:pPr>
        <w:pStyle w:val="66"/>
        <w:rPr>
          <w:rFonts w:hint="eastAsia" w:eastAsia="楷体"/>
          <w:sz w:val="44"/>
          <w:szCs w:val="44"/>
          <w:lang w:eastAsia="zh-CN"/>
        </w:rPr>
      </w:pPr>
      <w:r>
        <w:rPr>
          <w:rFonts w:hint="eastAsia"/>
          <w:sz w:val="44"/>
          <w:szCs w:val="44"/>
          <w:lang w:eastAsia="zh-CN"/>
        </w:rPr>
        <w:t>（</w:t>
      </w:r>
      <w:r>
        <w:rPr>
          <w:rFonts w:hint="eastAsia"/>
          <w:sz w:val="44"/>
          <w:szCs w:val="44"/>
          <w:lang w:val="en-US" w:eastAsia="zh-CN"/>
        </w:rPr>
        <w:t>公示稿</w:t>
      </w:r>
      <w:r>
        <w:rPr>
          <w:rFonts w:hint="eastAsia"/>
          <w:sz w:val="44"/>
          <w:szCs w:val="44"/>
          <w:lang w:eastAsia="zh-CN"/>
        </w:rPr>
        <w:t>）</w:t>
      </w:r>
    </w:p>
    <w:p w14:paraId="68B1B2EA">
      <w:pPr>
        <w:pStyle w:val="66"/>
        <w:rPr>
          <w:rFonts w:hint="eastAsia"/>
        </w:rPr>
      </w:pPr>
    </w:p>
    <w:p w14:paraId="04299992">
      <w:pPr>
        <w:pStyle w:val="66"/>
        <w:rPr>
          <w:rFonts w:hint="eastAsia"/>
        </w:rPr>
      </w:pPr>
    </w:p>
    <w:p w14:paraId="4AF5325B">
      <w:pPr>
        <w:pStyle w:val="66"/>
        <w:rPr>
          <w:rFonts w:hint="eastAsia"/>
        </w:rPr>
      </w:pPr>
    </w:p>
    <w:p w14:paraId="3B99AF5D">
      <w:pPr>
        <w:pStyle w:val="66"/>
        <w:rPr>
          <w:rFonts w:hint="eastAsia"/>
        </w:rPr>
      </w:pPr>
    </w:p>
    <w:p w14:paraId="11E9689E">
      <w:pPr>
        <w:pStyle w:val="66"/>
        <w:rPr>
          <w:rFonts w:hint="eastAsia"/>
        </w:rPr>
      </w:pPr>
    </w:p>
    <w:p w14:paraId="425F231B">
      <w:pPr>
        <w:pStyle w:val="66"/>
        <w:rPr>
          <w:rFonts w:hint="eastAsia"/>
        </w:rPr>
      </w:pPr>
    </w:p>
    <w:p w14:paraId="56D29501">
      <w:pPr>
        <w:pStyle w:val="66"/>
        <w:rPr>
          <w:rFonts w:hint="eastAsia"/>
        </w:rPr>
      </w:pPr>
    </w:p>
    <w:p w14:paraId="67AB2B2A">
      <w:pPr>
        <w:pStyle w:val="66"/>
        <w:rPr>
          <w:rFonts w:hint="eastAsia"/>
        </w:rPr>
      </w:pPr>
    </w:p>
    <w:p w14:paraId="2CA3E85D">
      <w:pPr>
        <w:pStyle w:val="66"/>
        <w:rPr>
          <w:rFonts w:hint="eastAsia"/>
        </w:rPr>
      </w:pPr>
    </w:p>
    <w:p w14:paraId="27160629">
      <w:pPr>
        <w:pStyle w:val="66"/>
        <w:rPr>
          <w:rFonts w:hint="eastAsia"/>
        </w:rPr>
      </w:pPr>
    </w:p>
    <w:p w14:paraId="12F72C96">
      <w:pPr>
        <w:pStyle w:val="66"/>
        <w:rPr>
          <w:rFonts w:hint="eastAsia"/>
        </w:rPr>
      </w:pPr>
      <w:r>
        <w:rPr>
          <w:rFonts w:hint="eastAsia"/>
        </w:rPr>
        <w:t>香河县人民政府</w:t>
      </w:r>
    </w:p>
    <w:p w14:paraId="2F763A3B">
      <w:pPr>
        <w:pStyle w:val="66"/>
        <w:rPr>
          <w:rFonts w:hint="eastAsia"/>
        </w:rPr>
      </w:pPr>
      <w:r>
        <w:rPr>
          <w:rFonts w:hint="eastAsia"/>
        </w:rPr>
        <w:t>20</w:t>
      </w:r>
      <w:r>
        <w:t>24</w:t>
      </w:r>
      <w:r>
        <w:rPr>
          <w:rFonts w:hint="eastAsia"/>
        </w:rPr>
        <w:t>年2月</w:t>
      </w:r>
    </w:p>
    <w:p w14:paraId="65A4A4B3">
      <w:pPr>
        <w:widowControl/>
        <w:spacing w:line="240" w:lineRule="auto"/>
        <w:ind w:firstLine="0" w:firstLineChars="0"/>
        <w:jc w:val="left"/>
      </w:pPr>
      <w:r>
        <w:br w:type="page"/>
      </w:r>
    </w:p>
    <w:bookmarkEnd w:id="0"/>
    <w:p w14:paraId="784F5ADD">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docGrid w:type="lines" w:linePitch="435" w:charSpace="0"/>
        </w:sectPr>
      </w:pPr>
    </w:p>
    <w:sdt>
      <w:sdtPr>
        <w:rPr>
          <w:b/>
          <w:bCs/>
          <w:lang w:val="zh-CN"/>
        </w:rPr>
        <w:id w:val="-1133331787"/>
        <w:docPartObj>
          <w:docPartGallery w:val="Table of Contents"/>
          <w:docPartUnique/>
        </w:docPartObj>
      </w:sdtPr>
      <w:sdtEndPr>
        <w:rPr>
          <w:b w:val="0"/>
          <w:bCs w:val="0"/>
          <w:sz w:val="21"/>
          <w:lang w:val="zh-CN"/>
        </w:rPr>
      </w:sdtEndPr>
      <w:sdtContent>
        <w:p w14:paraId="175DC972">
          <w:pPr>
            <w:ind w:firstLine="0" w:firstLineChars="0"/>
            <w:jc w:val="center"/>
            <w:rPr>
              <w:b/>
              <w:bCs/>
              <w:lang w:val="zh-CN"/>
            </w:rPr>
          </w:pPr>
          <w:bookmarkStart w:id="40" w:name="_Toc24661118"/>
          <w:bookmarkEnd w:id="40"/>
          <w:bookmarkStart w:id="41" w:name="_Toc24662733"/>
          <w:bookmarkEnd w:id="41"/>
          <w:bookmarkStart w:id="42" w:name="_Toc28703477"/>
          <w:bookmarkEnd w:id="42"/>
          <w:bookmarkStart w:id="43" w:name="_Toc24709248"/>
          <w:bookmarkEnd w:id="43"/>
          <w:bookmarkStart w:id="44" w:name="_Toc24616717"/>
          <w:bookmarkEnd w:id="44"/>
          <w:bookmarkStart w:id="45" w:name="_Toc24661119"/>
          <w:bookmarkStart w:id="46" w:name="_Toc20436372"/>
          <w:bookmarkStart w:id="47" w:name="_Toc24662734"/>
          <w:bookmarkStart w:id="48" w:name="_Toc23821785"/>
          <w:bookmarkStart w:id="49" w:name="_Toc28703478"/>
          <w:bookmarkStart w:id="50" w:name="_Toc24709249"/>
          <w:bookmarkStart w:id="51" w:name="_Toc24616718"/>
        </w:p>
        <w:p w14:paraId="0405E951">
          <w:pPr>
            <w:ind w:firstLine="0" w:firstLineChars="0"/>
            <w:jc w:val="center"/>
            <w:rPr>
              <w:b/>
              <w:bCs/>
              <w:lang w:val="zh-CN"/>
            </w:rPr>
          </w:pPr>
        </w:p>
        <w:p w14:paraId="71D4862A">
          <w:pPr>
            <w:ind w:firstLine="0" w:firstLineChars="0"/>
            <w:jc w:val="center"/>
            <w:rPr>
              <w:b/>
              <w:bCs/>
              <w:lang w:val="zh-CN"/>
            </w:rPr>
          </w:pPr>
        </w:p>
        <w:p w14:paraId="012BECE0">
          <w:pPr>
            <w:ind w:firstLine="0" w:firstLineChars="0"/>
            <w:jc w:val="center"/>
            <w:outlineLvl w:val="0"/>
            <w:rPr>
              <w:rStyle w:val="41"/>
              <w:rFonts w:hint="eastAsia"/>
            </w:rPr>
          </w:pPr>
          <w:bookmarkStart w:id="52" w:name="_Toc136029585"/>
          <w:bookmarkStart w:id="53" w:name="_Toc135785207"/>
          <w:bookmarkStart w:id="54" w:name="_Toc135491045"/>
          <w:bookmarkStart w:id="55" w:name="_Toc127452495"/>
          <w:bookmarkStart w:id="56" w:name="_Toc127352215"/>
          <w:bookmarkStart w:id="57" w:name="_Toc45569917"/>
          <w:bookmarkStart w:id="58" w:name="_Toc156463096"/>
          <w:bookmarkStart w:id="59" w:name="_Toc44317401"/>
          <w:bookmarkStart w:id="60" w:name="_Toc57381931"/>
          <w:bookmarkStart w:id="61" w:name="_Toc135785572"/>
          <w:bookmarkStart w:id="62" w:name="_Toc127280974"/>
          <w:bookmarkStart w:id="63" w:name="_Toc127268025"/>
          <w:bookmarkStart w:id="64" w:name="_Toc45801942"/>
          <w:bookmarkStart w:id="65" w:name="_Toc57211964"/>
          <w:bookmarkStart w:id="66" w:name="_Toc138832990"/>
          <w:bookmarkStart w:id="67" w:name="_Toc136997820"/>
          <w:bookmarkStart w:id="68" w:name="_Toc43208914"/>
          <w:bookmarkStart w:id="69" w:name="_Toc156636680"/>
          <w:bookmarkStart w:id="70" w:name="_Toc135781069"/>
          <w:bookmarkStart w:id="71" w:name="_Toc156636753"/>
          <w:bookmarkStart w:id="72" w:name="_Toc43045700"/>
          <w:bookmarkStart w:id="73" w:name="_Toc145087533"/>
          <w:bookmarkStart w:id="74" w:name="_Toc135492518"/>
          <w:bookmarkStart w:id="75" w:name="_Toc150783854"/>
          <w:bookmarkStart w:id="76" w:name="_Toc127368429"/>
          <w:bookmarkStart w:id="77" w:name="_Toc43679697"/>
          <w:bookmarkStart w:id="78" w:name="_Toc135785391"/>
          <w:bookmarkStart w:id="79" w:name="_Toc157528323"/>
          <w:bookmarkStart w:id="80" w:name="_Toc156641703"/>
          <w:bookmarkStart w:id="81" w:name="_Toc43299448"/>
          <w:bookmarkStart w:id="82" w:name="_Toc127540485"/>
          <w:bookmarkStart w:id="83" w:name="_Toc45568454"/>
          <w:bookmarkStart w:id="84" w:name="_Toc57211542"/>
          <w:bookmarkStart w:id="85" w:name="_Toc135692498"/>
          <w:bookmarkStart w:id="86" w:name="_Toc21672"/>
          <w:bookmarkStart w:id="87" w:name="_Toc137956100"/>
          <w:bookmarkStart w:id="88" w:name="_Toc156486466"/>
          <w:bookmarkStart w:id="89" w:name="_Toc43939351"/>
          <w:bookmarkStart w:id="90" w:name="_Toc136620825"/>
          <w:bookmarkStart w:id="91" w:name="_Toc127278707"/>
          <w:bookmarkStart w:id="92" w:name="_Toc127280342"/>
          <w:bookmarkStart w:id="93" w:name="_Toc127281053"/>
          <w:bookmarkStart w:id="94" w:name="_Toc127368349"/>
          <w:bookmarkStart w:id="95" w:name="_Toc135784013"/>
          <w:bookmarkStart w:id="96" w:name="_Toc40002218"/>
          <w:bookmarkStart w:id="97" w:name="_Toc57212600"/>
          <w:bookmarkStart w:id="98" w:name="_Toc137674099"/>
          <w:bookmarkStart w:id="99" w:name="_Toc127275756"/>
          <w:bookmarkStart w:id="100" w:name="_Toc137073751"/>
          <w:r>
            <w:rPr>
              <w:rStyle w:val="41"/>
            </w:rPr>
            <w:t>目    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5"/>
          <w:bookmarkEnd w:id="46"/>
          <w:bookmarkEnd w:id="47"/>
          <w:bookmarkEnd w:id="48"/>
          <w:bookmarkEnd w:id="49"/>
          <w:bookmarkEnd w:id="5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D1AFD5F">
          <w:pPr>
            <w:pStyle w:val="23"/>
            <w:tabs>
              <w:tab w:val="right" w:leader="dot" w:pos="8844"/>
              <w:tab w:val="clear" w:pos="1418"/>
              <w:tab w:val="clear" w:pos="8296"/>
            </w:tabs>
          </w:pPr>
          <w:r>
            <w:rPr>
              <w:b/>
              <w:bCs/>
              <w:kern w:val="44"/>
              <w:sz w:val="36"/>
              <w:szCs w:val="44"/>
              <w:lang w:val="zh-CN"/>
            </w:rPr>
            <w:fldChar w:fldCharType="begin"/>
          </w:r>
          <w:r>
            <w:rPr>
              <w:lang w:val="zh-CN"/>
            </w:rPr>
            <w:instrText xml:space="preserve"> TOC \o "1-2" \h \z \u </w:instrText>
          </w:r>
          <w:r>
            <w:rPr>
              <w:b/>
              <w:bCs/>
              <w:kern w:val="44"/>
              <w:sz w:val="36"/>
              <w:szCs w:val="44"/>
              <w:lang w:val="zh-CN"/>
            </w:rPr>
            <w:fldChar w:fldCharType="separate"/>
          </w:r>
          <w:r>
            <w:fldChar w:fldCharType="begin"/>
          </w:r>
          <w:r>
            <w:instrText xml:space="preserve"> HYPERLINK \l "_Toc655" </w:instrText>
          </w:r>
          <w:r>
            <w:fldChar w:fldCharType="separate"/>
          </w:r>
          <w:r>
            <w:rPr>
              <w:rFonts w:hint="eastAsia"/>
            </w:rPr>
            <w:t xml:space="preserve">前 </w:t>
          </w:r>
          <w:r>
            <w:t xml:space="preserve"> </w:t>
          </w:r>
          <w:r>
            <w:rPr>
              <w:rFonts w:hint="eastAsia"/>
            </w:rPr>
            <w:t xml:space="preserve"> </w:t>
          </w:r>
          <w:r>
            <w:t xml:space="preserve"> </w:t>
          </w:r>
          <w:r>
            <w:rPr>
              <w:rFonts w:hint="eastAsia"/>
            </w:rPr>
            <w:t>言</w:t>
          </w:r>
          <w:r>
            <w:tab/>
          </w:r>
          <w:r>
            <w:fldChar w:fldCharType="begin"/>
          </w:r>
          <w:r>
            <w:instrText xml:space="preserve"> PAGEREF _Toc655 \h </w:instrText>
          </w:r>
          <w:r>
            <w:fldChar w:fldCharType="separate"/>
          </w:r>
          <w:r>
            <w:t>1</w:t>
          </w:r>
          <w:r>
            <w:fldChar w:fldCharType="end"/>
          </w:r>
          <w:r>
            <w:fldChar w:fldCharType="end"/>
          </w:r>
        </w:p>
        <w:p w14:paraId="10B43DB2">
          <w:pPr>
            <w:pStyle w:val="23"/>
            <w:tabs>
              <w:tab w:val="right" w:leader="dot" w:pos="8844"/>
              <w:tab w:val="clear" w:pos="1418"/>
              <w:tab w:val="clear" w:pos="8296"/>
            </w:tabs>
          </w:pPr>
          <w:r>
            <w:fldChar w:fldCharType="begin"/>
          </w:r>
          <w:r>
            <w:instrText xml:space="preserve"> HYPERLINK \l "_Toc23697" </w:instrText>
          </w:r>
          <w:r>
            <w:fldChar w:fldCharType="separate"/>
          </w:r>
          <w:r>
            <w:rPr>
              <w:rFonts w:hint="eastAsia"/>
              <w:szCs w:val="36"/>
            </w:rPr>
            <w:t xml:space="preserve">第一章 </w:t>
          </w:r>
          <w:r>
            <w:rPr>
              <w:rFonts w:hint="eastAsia"/>
            </w:rPr>
            <w:t xml:space="preserve">总 </w:t>
          </w:r>
          <w:r>
            <w:t xml:space="preserve">   </w:t>
          </w:r>
          <w:r>
            <w:rPr>
              <w:rFonts w:hint="eastAsia"/>
            </w:rPr>
            <w:t>则</w:t>
          </w:r>
          <w:r>
            <w:tab/>
          </w:r>
          <w:r>
            <w:fldChar w:fldCharType="begin"/>
          </w:r>
          <w:r>
            <w:instrText xml:space="preserve"> PAGEREF _Toc23697 \h </w:instrText>
          </w:r>
          <w:r>
            <w:fldChar w:fldCharType="separate"/>
          </w:r>
          <w:r>
            <w:t>2</w:t>
          </w:r>
          <w:r>
            <w:fldChar w:fldCharType="end"/>
          </w:r>
          <w:r>
            <w:fldChar w:fldCharType="end"/>
          </w:r>
        </w:p>
        <w:p w14:paraId="38AC308E">
          <w:pPr>
            <w:pStyle w:val="23"/>
            <w:tabs>
              <w:tab w:val="right" w:leader="dot" w:pos="8844"/>
              <w:tab w:val="clear" w:pos="1418"/>
              <w:tab w:val="clear" w:pos="8296"/>
            </w:tabs>
          </w:pPr>
          <w:r>
            <w:fldChar w:fldCharType="begin"/>
          </w:r>
          <w:r>
            <w:instrText xml:space="preserve"> HYPERLINK \l "_Toc12887" </w:instrText>
          </w:r>
          <w:r>
            <w:fldChar w:fldCharType="separate"/>
          </w:r>
          <w:r>
            <w:rPr>
              <w:rFonts w:hint="eastAsia"/>
              <w:szCs w:val="36"/>
            </w:rPr>
            <w:t xml:space="preserve">第二章 </w:t>
          </w:r>
          <w:r>
            <w:rPr>
              <w:rFonts w:hint="eastAsia"/>
            </w:rPr>
            <w:t>规划基础</w:t>
          </w:r>
          <w:r>
            <w:tab/>
          </w:r>
          <w:r>
            <w:fldChar w:fldCharType="begin"/>
          </w:r>
          <w:r>
            <w:instrText xml:space="preserve"> PAGEREF _Toc12887 \h </w:instrText>
          </w:r>
          <w:r>
            <w:fldChar w:fldCharType="separate"/>
          </w:r>
          <w:r>
            <w:t>6</w:t>
          </w:r>
          <w:r>
            <w:fldChar w:fldCharType="end"/>
          </w:r>
          <w:r>
            <w:fldChar w:fldCharType="end"/>
          </w:r>
        </w:p>
        <w:p w14:paraId="56BDE6DD">
          <w:pPr>
            <w:pStyle w:val="28"/>
            <w:tabs>
              <w:tab w:val="right" w:leader="dot" w:pos="8844"/>
              <w:tab w:val="clear" w:pos="1680"/>
              <w:tab w:val="clear" w:pos="8296"/>
            </w:tabs>
          </w:pPr>
          <w:r>
            <w:fldChar w:fldCharType="begin"/>
          </w:r>
          <w:r>
            <w:instrText xml:space="preserve"> HYPERLINK \l "_Toc6355" </w:instrText>
          </w:r>
          <w:r>
            <w:fldChar w:fldCharType="separate"/>
          </w:r>
          <w:r>
            <w:rPr>
              <w:rFonts w:hint="eastAsia"/>
            </w:rPr>
            <w:t>第一节 现状与问题</w:t>
          </w:r>
          <w:r>
            <w:tab/>
          </w:r>
          <w:r>
            <w:fldChar w:fldCharType="begin"/>
          </w:r>
          <w:r>
            <w:instrText xml:space="preserve"> PAGEREF _Toc6355 \h </w:instrText>
          </w:r>
          <w:r>
            <w:fldChar w:fldCharType="separate"/>
          </w:r>
          <w:r>
            <w:t>6</w:t>
          </w:r>
          <w:r>
            <w:fldChar w:fldCharType="end"/>
          </w:r>
          <w:r>
            <w:fldChar w:fldCharType="end"/>
          </w:r>
        </w:p>
        <w:p w14:paraId="1023F70D">
          <w:pPr>
            <w:pStyle w:val="28"/>
            <w:tabs>
              <w:tab w:val="right" w:leader="dot" w:pos="8844"/>
              <w:tab w:val="clear" w:pos="1680"/>
              <w:tab w:val="clear" w:pos="8296"/>
            </w:tabs>
          </w:pPr>
          <w:r>
            <w:fldChar w:fldCharType="begin"/>
          </w:r>
          <w:r>
            <w:instrText xml:space="preserve"> HYPERLINK \l "_Toc13412" </w:instrText>
          </w:r>
          <w:r>
            <w:fldChar w:fldCharType="separate"/>
          </w:r>
          <w:r>
            <w:rPr>
              <w:rFonts w:hint="eastAsia"/>
            </w:rPr>
            <w:t>第二节 机遇与挑战</w:t>
          </w:r>
          <w:r>
            <w:tab/>
          </w:r>
          <w:r>
            <w:fldChar w:fldCharType="begin"/>
          </w:r>
          <w:r>
            <w:instrText xml:space="preserve"> PAGEREF _Toc13412 \h </w:instrText>
          </w:r>
          <w:r>
            <w:fldChar w:fldCharType="separate"/>
          </w:r>
          <w:r>
            <w:t>8</w:t>
          </w:r>
          <w:r>
            <w:fldChar w:fldCharType="end"/>
          </w:r>
          <w:r>
            <w:fldChar w:fldCharType="end"/>
          </w:r>
        </w:p>
        <w:p w14:paraId="6920C5DF">
          <w:pPr>
            <w:pStyle w:val="23"/>
            <w:tabs>
              <w:tab w:val="right" w:leader="dot" w:pos="8844"/>
              <w:tab w:val="clear" w:pos="1418"/>
              <w:tab w:val="clear" w:pos="8296"/>
            </w:tabs>
          </w:pPr>
          <w:r>
            <w:fldChar w:fldCharType="begin"/>
          </w:r>
          <w:r>
            <w:instrText xml:space="preserve"> HYPERLINK \l "_Toc8533" </w:instrText>
          </w:r>
          <w:r>
            <w:fldChar w:fldCharType="separate"/>
          </w:r>
          <w:r>
            <w:rPr>
              <w:rFonts w:hint="eastAsia"/>
              <w:szCs w:val="36"/>
            </w:rPr>
            <w:t xml:space="preserve">第三章 </w:t>
          </w:r>
          <w:r>
            <w:t>目标</w:t>
          </w:r>
          <w:r>
            <w:rPr>
              <w:rFonts w:hint="eastAsia"/>
            </w:rPr>
            <w:t>战略</w:t>
          </w:r>
          <w:r>
            <w:tab/>
          </w:r>
          <w:r>
            <w:fldChar w:fldCharType="begin"/>
          </w:r>
          <w:r>
            <w:instrText xml:space="preserve"> PAGEREF _Toc8533 \h </w:instrText>
          </w:r>
          <w:r>
            <w:fldChar w:fldCharType="separate"/>
          </w:r>
          <w:r>
            <w:t>10</w:t>
          </w:r>
          <w:r>
            <w:fldChar w:fldCharType="end"/>
          </w:r>
          <w:r>
            <w:fldChar w:fldCharType="end"/>
          </w:r>
        </w:p>
        <w:p w14:paraId="2227BF7F">
          <w:pPr>
            <w:pStyle w:val="28"/>
            <w:tabs>
              <w:tab w:val="right" w:leader="dot" w:pos="8844"/>
              <w:tab w:val="clear" w:pos="1680"/>
              <w:tab w:val="clear" w:pos="8296"/>
            </w:tabs>
          </w:pPr>
          <w:r>
            <w:fldChar w:fldCharType="begin"/>
          </w:r>
          <w:r>
            <w:instrText xml:space="preserve"> HYPERLINK \l "_Toc21891" </w:instrText>
          </w:r>
          <w:r>
            <w:fldChar w:fldCharType="separate"/>
          </w:r>
          <w:r>
            <w:rPr>
              <w:rFonts w:hint="eastAsia"/>
            </w:rPr>
            <w:t>第一节 城市性质与规划目标</w:t>
          </w:r>
          <w:r>
            <w:tab/>
          </w:r>
          <w:r>
            <w:fldChar w:fldCharType="begin"/>
          </w:r>
          <w:r>
            <w:instrText xml:space="preserve"> PAGEREF _Toc21891 \h </w:instrText>
          </w:r>
          <w:r>
            <w:fldChar w:fldCharType="separate"/>
          </w:r>
          <w:r>
            <w:t>10</w:t>
          </w:r>
          <w:r>
            <w:fldChar w:fldCharType="end"/>
          </w:r>
          <w:r>
            <w:fldChar w:fldCharType="end"/>
          </w:r>
        </w:p>
        <w:p w14:paraId="1FB2E52C">
          <w:pPr>
            <w:pStyle w:val="28"/>
            <w:tabs>
              <w:tab w:val="right" w:leader="dot" w:pos="8844"/>
              <w:tab w:val="clear" w:pos="1680"/>
              <w:tab w:val="clear" w:pos="8296"/>
            </w:tabs>
          </w:pPr>
          <w:r>
            <w:fldChar w:fldCharType="begin"/>
          </w:r>
          <w:r>
            <w:instrText xml:space="preserve"> HYPERLINK \l "_Toc23084" </w:instrText>
          </w:r>
          <w:r>
            <w:fldChar w:fldCharType="separate"/>
          </w:r>
          <w:r>
            <w:rPr>
              <w:rFonts w:hint="eastAsia"/>
            </w:rPr>
            <w:t>第二节 国土空间开发保护策略</w:t>
          </w:r>
          <w:r>
            <w:tab/>
          </w:r>
          <w:r>
            <w:fldChar w:fldCharType="begin"/>
          </w:r>
          <w:r>
            <w:instrText xml:space="preserve"> PAGEREF _Toc23084 \h </w:instrText>
          </w:r>
          <w:r>
            <w:fldChar w:fldCharType="separate"/>
          </w:r>
          <w:r>
            <w:t>12</w:t>
          </w:r>
          <w:r>
            <w:fldChar w:fldCharType="end"/>
          </w:r>
          <w:r>
            <w:fldChar w:fldCharType="end"/>
          </w:r>
        </w:p>
        <w:p w14:paraId="128DC895">
          <w:pPr>
            <w:pStyle w:val="23"/>
            <w:tabs>
              <w:tab w:val="right" w:leader="dot" w:pos="8844"/>
              <w:tab w:val="clear" w:pos="1418"/>
              <w:tab w:val="clear" w:pos="8296"/>
            </w:tabs>
          </w:pPr>
          <w:r>
            <w:fldChar w:fldCharType="begin"/>
          </w:r>
          <w:r>
            <w:instrText xml:space="preserve"> HYPERLINK \l "_Toc29190" </w:instrText>
          </w:r>
          <w:r>
            <w:fldChar w:fldCharType="separate"/>
          </w:r>
          <w:r>
            <w:rPr>
              <w:rFonts w:hint="eastAsia"/>
              <w:szCs w:val="36"/>
            </w:rPr>
            <w:t xml:space="preserve">第四章 </w:t>
          </w:r>
          <w:r>
            <w:rPr>
              <w:rFonts w:hint="eastAsia"/>
            </w:rPr>
            <w:t>构建以“三区三线”为基础的国土</w:t>
          </w:r>
          <w:r>
            <w:t>空间</w:t>
          </w:r>
          <w:r>
            <w:rPr>
              <w:rFonts w:hint="eastAsia"/>
            </w:rPr>
            <w:t>开发保护新</w:t>
          </w:r>
          <w:r>
            <w:t>格局</w:t>
          </w:r>
          <w:r>
            <w:tab/>
          </w:r>
          <w:r>
            <w:fldChar w:fldCharType="begin"/>
          </w:r>
          <w:r>
            <w:instrText xml:space="preserve"> PAGEREF _Toc29190 \h </w:instrText>
          </w:r>
          <w:r>
            <w:fldChar w:fldCharType="separate"/>
          </w:r>
          <w:r>
            <w:t>14</w:t>
          </w:r>
          <w:r>
            <w:fldChar w:fldCharType="end"/>
          </w:r>
          <w:r>
            <w:fldChar w:fldCharType="end"/>
          </w:r>
        </w:p>
        <w:p w14:paraId="540B4F5C">
          <w:pPr>
            <w:pStyle w:val="28"/>
            <w:tabs>
              <w:tab w:val="right" w:leader="dot" w:pos="8844"/>
              <w:tab w:val="clear" w:pos="1680"/>
              <w:tab w:val="clear" w:pos="8296"/>
            </w:tabs>
          </w:pPr>
          <w:r>
            <w:fldChar w:fldCharType="begin"/>
          </w:r>
          <w:r>
            <w:instrText xml:space="preserve"> HYPERLINK \l "_Toc23722" </w:instrText>
          </w:r>
          <w:r>
            <w:fldChar w:fldCharType="separate"/>
          </w:r>
          <w:r>
            <w:rPr>
              <w:rFonts w:hint="eastAsia"/>
            </w:rPr>
            <w:t>第一节 统筹划定落实三条控制线</w:t>
          </w:r>
          <w:r>
            <w:tab/>
          </w:r>
          <w:r>
            <w:fldChar w:fldCharType="begin"/>
          </w:r>
          <w:r>
            <w:instrText xml:space="preserve"> PAGEREF _Toc23722 \h </w:instrText>
          </w:r>
          <w:r>
            <w:fldChar w:fldCharType="separate"/>
          </w:r>
          <w:r>
            <w:t>14</w:t>
          </w:r>
          <w:r>
            <w:fldChar w:fldCharType="end"/>
          </w:r>
          <w:r>
            <w:fldChar w:fldCharType="end"/>
          </w:r>
        </w:p>
        <w:p w14:paraId="67FE4F45">
          <w:pPr>
            <w:pStyle w:val="28"/>
            <w:tabs>
              <w:tab w:val="right" w:leader="dot" w:pos="8844"/>
              <w:tab w:val="clear" w:pos="1680"/>
              <w:tab w:val="clear" w:pos="8296"/>
            </w:tabs>
          </w:pPr>
          <w:r>
            <w:fldChar w:fldCharType="begin"/>
          </w:r>
          <w:r>
            <w:instrText xml:space="preserve"> HYPERLINK \l "_Toc23324" </w:instrText>
          </w:r>
          <w:r>
            <w:fldChar w:fldCharType="separate"/>
          </w:r>
          <w:r>
            <w:rPr>
              <w:rFonts w:hint="eastAsia"/>
            </w:rPr>
            <w:t>第二节 细化落实主体功能区定位</w:t>
          </w:r>
          <w:r>
            <w:tab/>
          </w:r>
          <w:r>
            <w:fldChar w:fldCharType="begin"/>
          </w:r>
          <w:r>
            <w:instrText xml:space="preserve"> PAGEREF _Toc23324 \h </w:instrText>
          </w:r>
          <w:r>
            <w:fldChar w:fldCharType="separate"/>
          </w:r>
          <w:r>
            <w:t>15</w:t>
          </w:r>
          <w:r>
            <w:fldChar w:fldCharType="end"/>
          </w:r>
          <w:r>
            <w:fldChar w:fldCharType="end"/>
          </w:r>
        </w:p>
        <w:p w14:paraId="5C53BE24">
          <w:pPr>
            <w:pStyle w:val="28"/>
            <w:tabs>
              <w:tab w:val="right" w:leader="dot" w:pos="8844"/>
              <w:tab w:val="clear" w:pos="1680"/>
              <w:tab w:val="clear" w:pos="8296"/>
            </w:tabs>
          </w:pPr>
          <w:r>
            <w:fldChar w:fldCharType="begin"/>
          </w:r>
          <w:r>
            <w:instrText xml:space="preserve"> HYPERLINK \l "_Toc26073" </w:instrText>
          </w:r>
          <w:r>
            <w:fldChar w:fldCharType="separate"/>
          </w:r>
          <w:r>
            <w:rPr>
              <w:rFonts w:hint="eastAsia"/>
            </w:rPr>
            <w:t>第三节 构建国土空间开发保护格局</w:t>
          </w:r>
          <w:r>
            <w:tab/>
          </w:r>
          <w:r>
            <w:fldChar w:fldCharType="begin"/>
          </w:r>
          <w:r>
            <w:instrText xml:space="preserve"> PAGEREF _Toc26073 \h </w:instrText>
          </w:r>
          <w:r>
            <w:fldChar w:fldCharType="separate"/>
          </w:r>
          <w:r>
            <w:t>16</w:t>
          </w:r>
          <w:r>
            <w:fldChar w:fldCharType="end"/>
          </w:r>
          <w:r>
            <w:fldChar w:fldCharType="end"/>
          </w:r>
        </w:p>
        <w:p w14:paraId="14F93491">
          <w:pPr>
            <w:pStyle w:val="28"/>
            <w:tabs>
              <w:tab w:val="right" w:leader="dot" w:pos="8844"/>
              <w:tab w:val="clear" w:pos="1680"/>
              <w:tab w:val="clear" w:pos="8296"/>
            </w:tabs>
          </w:pPr>
          <w:r>
            <w:fldChar w:fldCharType="begin"/>
          </w:r>
          <w:r>
            <w:instrText xml:space="preserve"> HYPERLINK \l "_Toc12244" </w:instrText>
          </w:r>
          <w:r>
            <w:fldChar w:fldCharType="separate"/>
          </w:r>
          <w:r>
            <w:rPr>
              <w:rFonts w:hint="eastAsia"/>
            </w:rPr>
            <w:t>第四节 完善国土规划分区和功能结构</w:t>
          </w:r>
          <w:r>
            <w:tab/>
          </w:r>
          <w:r>
            <w:fldChar w:fldCharType="begin"/>
          </w:r>
          <w:r>
            <w:instrText xml:space="preserve"> PAGEREF _Toc12244 \h </w:instrText>
          </w:r>
          <w:r>
            <w:fldChar w:fldCharType="separate"/>
          </w:r>
          <w:r>
            <w:t>18</w:t>
          </w:r>
          <w:r>
            <w:fldChar w:fldCharType="end"/>
          </w:r>
          <w:r>
            <w:fldChar w:fldCharType="end"/>
          </w:r>
        </w:p>
        <w:p w14:paraId="6327B7C5">
          <w:pPr>
            <w:pStyle w:val="23"/>
            <w:tabs>
              <w:tab w:val="right" w:leader="dot" w:pos="8844"/>
              <w:tab w:val="clear" w:pos="1418"/>
              <w:tab w:val="clear" w:pos="8296"/>
            </w:tabs>
          </w:pPr>
          <w:r>
            <w:fldChar w:fldCharType="begin"/>
          </w:r>
          <w:r>
            <w:instrText xml:space="preserve"> HYPERLINK \l "_Toc24058" </w:instrText>
          </w:r>
          <w:r>
            <w:fldChar w:fldCharType="separate"/>
          </w:r>
          <w:r>
            <w:rPr>
              <w:rFonts w:hint="eastAsia"/>
              <w:szCs w:val="36"/>
            </w:rPr>
            <w:t xml:space="preserve">第五章 </w:t>
          </w:r>
          <w:r>
            <w:rPr>
              <w:rFonts w:hint="eastAsia"/>
            </w:rPr>
            <w:t>推进区域</w:t>
          </w:r>
          <w:r>
            <w:t>协同</w:t>
          </w:r>
          <w:r>
            <w:rPr>
              <w:rFonts w:hint="eastAsia"/>
            </w:rPr>
            <w:t>发展</w:t>
          </w:r>
          <w:r>
            <w:tab/>
          </w:r>
          <w:r>
            <w:fldChar w:fldCharType="begin"/>
          </w:r>
          <w:r>
            <w:instrText xml:space="preserve"> PAGEREF _Toc24058 \h </w:instrText>
          </w:r>
          <w:r>
            <w:fldChar w:fldCharType="separate"/>
          </w:r>
          <w:r>
            <w:t>20</w:t>
          </w:r>
          <w:r>
            <w:fldChar w:fldCharType="end"/>
          </w:r>
          <w:r>
            <w:fldChar w:fldCharType="end"/>
          </w:r>
        </w:p>
        <w:p w14:paraId="5E000B54">
          <w:pPr>
            <w:pStyle w:val="28"/>
            <w:tabs>
              <w:tab w:val="right" w:leader="dot" w:pos="8844"/>
              <w:tab w:val="clear" w:pos="1680"/>
              <w:tab w:val="clear" w:pos="8296"/>
            </w:tabs>
          </w:pPr>
          <w:r>
            <w:fldChar w:fldCharType="begin"/>
          </w:r>
          <w:r>
            <w:instrText xml:space="preserve"> HYPERLINK \l "_Toc3892" </w:instrText>
          </w:r>
          <w:r>
            <w:fldChar w:fldCharType="separate"/>
          </w:r>
          <w:r>
            <w:rPr>
              <w:rFonts w:hint="eastAsia"/>
            </w:rPr>
            <w:t>第一节 落实廊坊北三县与北京通州区一体化高质量发展要求</w:t>
          </w:r>
          <w:r>
            <w:tab/>
          </w:r>
          <w:r>
            <w:fldChar w:fldCharType="begin"/>
          </w:r>
          <w:r>
            <w:instrText xml:space="preserve"> PAGEREF _Toc3892 \h </w:instrText>
          </w:r>
          <w:r>
            <w:fldChar w:fldCharType="separate"/>
          </w:r>
          <w:r>
            <w:t>20</w:t>
          </w:r>
          <w:r>
            <w:fldChar w:fldCharType="end"/>
          </w:r>
          <w:r>
            <w:fldChar w:fldCharType="end"/>
          </w:r>
        </w:p>
        <w:p w14:paraId="56DAB938">
          <w:pPr>
            <w:pStyle w:val="28"/>
            <w:tabs>
              <w:tab w:val="right" w:leader="dot" w:pos="8844"/>
              <w:tab w:val="clear" w:pos="1680"/>
              <w:tab w:val="clear" w:pos="8296"/>
            </w:tabs>
          </w:pPr>
          <w:r>
            <w:fldChar w:fldCharType="begin"/>
          </w:r>
          <w:r>
            <w:instrText xml:space="preserve"> HYPERLINK \l "_Toc26807" </w:instrText>
          </w:r>
          <w:r>
            <w:fldChar w:fldCharType="separate"/>
          </w:r>
          <w:r>
            <w:rPr>
              <w:rFonts w:hint="eastAsia"/>
            </w:rPr>
            <w:t>第二节 加强与周边区县协同联动</w:t>
          </w:r>
          <w:r>
            <w:tab/>
          </w:r>
          <w:r>
            <w:fldChar w:fldCharType="begin"/>
          </w:r>
          <w:r>
            <w:instrText xml:space="preserve"> PAGEREF _Toc26807 \h </w:instrText>
          </w:r>
          <w:r>
            <w:fldChar w:fldCharType="separate"/>
          </w:r>
          <w:r>
            <w:t>22</w:t>
          </w:r>
          <w:r>
            <w:fldChar w:fldCharType="end"/>
          </w:r>
          <w:r>
            <w:fldChar w:fldCharType="end"/>
          </w:r>
        </w:p>
        <w:p w14:paraId="56A7690B">
          <w:pPr>
            <w:pStyle w:val="23"/>
            <w:tabs>
              <w:tab w:val="right" w:leader="dot" w:pos="8844"/>
              <w:tab w:val="clear" w:pos="1418"/>
              <w:tab w:val="clear" w:pos="8296"/>
            </w:tabs>
          </w:pPr>
          <w:r>
            <w:fldChar w:fldCharType="begin"/>
          </w:r>
          <w:r>
            <w:instrText xml:space="preserve"> HYPERLINK \l "_Toc29706" </w:instrText>
          </w:r>
          <w:r>
            <w:fldChar w:fldCharType="separate"/>
          </w:r>
          <w:r>
            <w:rPr>
              <w:rFonts w:hint="eastAsia"/>
              <w:szCs w:val="36"/>
            </w:rPr>
            <w:t xml:space="preserve">第六章 </w:t>
          </w:r>
          <w:r>
            <w:rPr>
              <w:rFonts w:hint="eastAsia"/>
            </w:rPr>
            <w:t>优化农业发展空间布局</w:t>
          </w:r>
          <w:r>
            <w:tab/>
          </w:r>
          <w:r>
            <w:fldChar w:fldCharType="begin"/>
          </w:r>
          <w:r>
            <w:instrText xml:space="preserve"> PAGEREF _Toc29706 \h </w:instrText>
          </w:r>
          <w:r>
            <w:fldChar w:fldCharType="separate"/>
          </w:r>
          <w:r>
            <w:t>23</w:t>
          </w:r>
          <w:r>
            <w:fldChar w:fldCharType="end"/>
          </w:r>
          <w:r>
            <w:fldChar w:fldCharType="end"/>
          </w:r>
        </w:p>
        <w:p w14:paraId="50209C0F">
          <w:pPr>
            <w:pStyle w:val="28"/>
            <w:tabs>
              <w:tab w:val="right" w:leader="dot" w:pos="8844"/>
              <w:tab w:val="clear" w:pos="1680"/>
              <w:tab w:val="clear" w:pos="8296"/>
            </w:tabs>
          </w:pPr>
          <w:r>
            <w:fldChar w:fldCharType="begin"/>
          </w:r>
          <w:r>
            <w:instrText xml:space="preserve"> HYPERLINK \l "_Toc11306" </w:instrText>
          </w:r>
          <w:r>
            <w:fldChar w:fldCharType="separate"/>
          </w:r>
          <w:r>
            <w:rPr>
              <w:rFonts w:hint="eastAsia"/>
            </w:rPr>
            <w:t>第一节 实施耕地“三位一体”保护</w:t>
          </w:r>
          <w:r>
            <w:tab/>
          </w:r>
          <w:r>
            <w:fldChar w:fldCharType="begin"/>
          </w:r>
          <w:r>
            <w:instrText xml:space="preserve"> PAGEREF _Toc11306 \h </w:instrText>
          </w:r>
          <w:r>
            <w:fldChar w:fldCharType="separate"/>
          </w:r>
          <w:r>
            <w:t>23</w:t>
          </w:r>
          <w:r>
            <w:fldChar w:fldCharType="end"/>
          </w:r>
          <w:r>
            <w:fldChar w:fldCharType="end"/>
          </w:r>
        </w:p>
        <w:p w14:paraId="2802C8D9">
          <w:pPr>
            <w:pStyle w:val="28"/>
            <w:tabs>
              <w:tab w:val="right" w:leader="dot" w:pos="8844"/>
              <w:tab w:val="clear" w:pos="1680"/>
              <w:tab w:val="clear" w:pos="8296"/>
            </w:tabs>
          </w:pPr>
          <w:r>
            <w:fldChar w:fldCharType="begin"/>
          </w:r>
          <w:r>
            <w:instrText xml:space="preserve"> HYPERLINK \l "_Toc20589" </w:instrText>
          </w:r>
          <w:r>
            <w:fldChar w:fldCharType="separate"/>
          </w:r>
          <w:r>
            <w:rPr>
              <w:rFonts w:hint="eastAsia"/>
            </w:rPr>
            <w:t>第二节 优化农业生产布局</w:t>
          </w:r>
          <w:r>
            <w:tab/>
          </w:r>
          <w:r>
            <w:fldChar w:fldCharType="begin"/>
          </w:r>
          <w:r>
            <w:instrText xml:space="preserve"> PAGEREF _Toc20589 \h </w:instrText>
          </w:r>
          <w:r>
            <w:fldChar w:fldCharType="separate"/>
          </w:r>
          <w:r>
            <w:t>25</w:t>
          </w:r>
          <w:r>
            <w:fldChar w:fldCharType="end"/>
          </w:r>
          <w:r>
            <w:fldChar w:fldCharType="end"/>
          </w:r>
        </w:p>
        <w:p w14:paraId="4D4B411C">
          <w:pPr>
            <w:pStyle w:val="28"/>
            <w:tabs>
              <w:tab w:val="right" w:leader="dot" w:pos="8844"/>
              <w:tab w:val="clear" w:pos="1680"/>
              <w:tab w:val="clear" w:pos="8296"/>
            </w:tabs>
          </w:pPr>
          <w:r>
            <w:fldChar w:fldCharType="begin"/>
          </w:r>
          <w:r>
            <w:instrText xml:space="preserve"> HYPERLINK \l "_Toc11503" </w:instrText>
          </w:r>
          <w:r>
            <w:fldChar w:fldCharType="separate"/>
          </w:r>
          <w:r>
            <w:rPr>
              <w:rFonts w:hint="eastAsia"/>
            </w:rPr>
            <w:t>第三节 加强农村土地综合整治</w:t>
          </w:r>
          <w:r>
            <w:tab/>
          </w:r>
          <w:r>
            <w:fldChar w:fldCharType="begin"/>
          </w:r>
          <w:r>
            <w:instrText xml:space="preserve"> PAGEREF _Toc11503 \h </w:instrText>
          </w:r>
          <w:r>
            <w:fldChar w:fldCharType="separate"/>
          </w:r>
          <w:r>
            <w:t>26</w:t>
          </w:r>
          <w:r>
            <w:fldChar w:fldCharType="end"/>
          </w:r>
          <w:r>
            <w:fldChar w:fldCharType="end"/>
          </w:r>
        </w:p>
        <w:p w14:paraId="5EB7A0AE">
          <w:pPr>
            <w:pStyle w:val="23"/>
            <w:tabs>
              <w:tab w:val="right" w:leader="dot" w:pos="8844"/>
              <w:tab w:val="clear" w:pos="1418"/>
              <w:tab w:val="clear" w:pos="8296"/>
            </w:tabs>
          </w:pPr>
          <w:r>
            <w:fldChar w:fldCharType="begin"/>
          </w:r>
          <w:r>
            <w:instrText xml:space="preserve"> HYPERLINK \l "_Toc28156" </w:instrText>
          </w:r>
          <w:r>
            <w:fldChar w:fldCharType="separate"/>
          </w:r>
          <w:r>
            <w:rPr>
              <w:rFonts w:hint="eastAsia"/>
              <w:szCs w:val="36"/>
            </w:rPr>
            <w:t xml:space="preserve">第七章 </w:t>
          </w:r>
          <w:r>
            <w:rPr>
              <w:rFonts w:hint="eastAsia"/>
            </w:rPr>
            <w:t>强化生态空间保护利用</w:t>
          </w:r>
          <w:r>
            <w:tab/>
          </w:r>
          <w:r>
            <w:fldChar w:fldCharType="begin"/>
          </w:r>
          <w:r>
            <w:instrText xml:space="preserve"> PAGEREF _Toc28156 \h </w:instrText>
          </w:r>
          <w:r>
            <w:fldChar w:fldCharType="separate"/>
          </w:r>
          <w:r>
            <w:t>28</w:t>
          </w:r>
          <w:r>
            <w:fldChar w:fldCharType="end"/>
          </w:r>
          <w:r>
            <w:fldChar w:fldCharType="end"/>
          </w:r>
        </w:p>
        <w:p w14:paraId="6DEFA578">
          <w:pPr>
            <w:pStyle w:val="28"/>
            <w:tabs>
              <w:tab w:val="right" w:leader="dot" w:pos="8844"/>
              <w:tab w:val="clear" w:pos="1680"/>
              <w:tab w:val="clear" w:pos="8296"/>
            </w:tabs>
          </w:pPr>
          <w:r>
            <w:fldChar w:fldCharType="begin"/>
          </w:r>
          <w:r>
            <w:instrText xml:space="preserve"> HYPERLINK \l "_Toc20429" </w:instrText>
          </w:r>
          <w:r>
            <w:fldChar w:fldCharType="separate"/>
          </w:r>
          <w:r>
            <w:rPr>
              <w:rFonts w:hint="eastAsia"/>
            </w:rPr>
            <w:t>第一节 提升生态系统功能</w:t>
          </w:r>
          <w:r>
            <w:tab/>
          </w:r>
          <w:r>
            <w:fldChar w:fldCharType="begin"/>
          </w:r>
          <w:r>
            <w:instrText xml:space="preserve"> PAGEREF _Toc20429 \h </w:instrText>
          </w:r>
          <w:r>
            <w:fldChar w:fldCharType="separate"/>
          </w:r>
          <w:r>
            <w:t>28</w:t>
          </w:r>
          <w:r>
            <w:fldChar w:fldCharType="end"/>
          </w:r>
          <w:r>
            <w:fldChar w:fldCharType="end"/>
          </w:r>
        </w:p>
        <w:p w14:paraId="0953CC20">
          <w:pPr>
            <w:pStyle w:val="28"/>
            <w:tabs>
              <w:tab w:val="right" w:leader="dot" w:pos="8844"/>
              <w:tab w:val="clear" w:pos="1680"/>
              <w:tab w:val="clear" w:pos="8296"/>
            </w:tabs>
          </w:pPr>
          <w:r>
            <w:fldChar w:fldCharType="begin"/>
          </w:r>
          <w:r>
            <w:instrText xml:space="preserve"> HYPERLINK \l "_Toc350" </w:instrText>
          </w:r>
          <w:r>
            <w:fldChar w:fldCharType="separate"/>
          </w:r>
          <w:r>
            <w:rPr>
              <w:rFonts w:hint="eastAsia"/>
            </w:rPr>
            <w:t>第二节 推进系统性生态修复</w:t>
          </w:r>
          <w:r>
            <w:tab/>
          </w:r>
          <w:r>
            <w:fldChar w:fldCharType="begin"/>
          </w:r>
          <w:r>
            <w:instrText xml:space="preserve"> PAGEREF _Toc350 \h </w:instrText>
          </w:r>
          <w:r>
            <w:fldChar w:fldCharType="separate"/>
          </w:r>
          <w:r>
            <w:t>30</w:t>
          </w:r>
          <w:r>
            <w:fldChar w:fldCharType="end"/>
          </w:r>
          <w:r>
            <w:fldChar w:fldCharType="end"/>
          </w:r>
        </w:p>
        <w:p w14:paraId="6081C6AC">
          <w:pPr>
            <w:pStyle w:val="23"/>
            <w:tabs>
              <w:tab w:val="right" w:leader="dot" w:pos="8844"/>
              <w:tab w:val="clear" w:pos="1418"/>
              <w:tab w:val="clear" w:pos="8296"/>
            </w:tabs>
          </w:pPr>
          <w:r>
            <w:fldChar w:fldCharType="begin"/>
          </w:r>
          <w:r>
            <w:instrText xml:space="preserve"> HYPERLINK \l "_Toc21962" </w:instrText>
          </w:r>
          <w:r>
            <w:fldChar w:fldCharType="separate"/>
          </w:r>
          <w:r>
            <w:rPr>
              <w:rFonts w:hint="eastAsia"/>
              <w:szCs w:val="36"/>
            </w:rPr>
            <w:t xml:space="preserve">第八章 </w:t>
          </w:r>
          <w:r>
            <w:rPr>
              <w:rFonts w:hint="eastAsia"/>
            </w:rPr>
            <w:t>提升城乡发展空间品质</w:t>
          </w:r>
          <w:r>
            <w:tab/>
          </w:r>
          <w:r>
            <w:fldChar w:fldCharType="begin"/>
          </w:r>
          <w:r>
            <w:instrText xml:space="preserve"> PAGEREF _Toc21962 \h </w:instrText>
          </w:r>
          <w:r>
            <w:fldChar w:fldCharType="separate"/>
          </w:r>
          <w:r>
            <w:t>32</w:t>
          </w:r>
          <w:r>
            <w:fldChar w:fldCharType="end"/>
          </w:r>
          <w:r>
            <w:fldChar w:fldCharType="end"/>
          </w:r>
        </w:p>
        <w:p w14:paraId="243B74C9">
          <w:pPr>
            <w:pStyle w:val="28"/>
            <w:tabs>
              <w:tab w:val="right" w:leader="dot" w:pos="8844"/>
              <w:tab w:val="clear" w:pos="1680"/>
              <w:tab w:val="clear" w:pos="8296"/>
            </w:tabs>
          </w:pPr>
          <w:r>
            <w:fldChar w:fldCharType="begin"/>
          </w:r>
          <w:r>
            <w:instrText xml:space="preserve"> HYPERLINK \l "_Toc4764" </w:instrText>
          </w:r>
          <w:r>
            <w:fldChar w:fldCharType="separate"/>
          </w:r>
          <w:r>
            <w:rPr>
              <w:rFonts w:hint="eastAsia"/>
            </w:rPr>
            <w:t>第一节 推进城乡空间协调布局</w:t>
          </w:r>
          <w:r>
            <w:tab/>
          </w:r>
          <w:r>
            <w:fldChar w:fldCharType="begin"/>
          </w:r>
          <w:r>
            <w:instrText xml:space="preserve"> PAGEREF _Toc4764 \h </w:instrText>
          </w:r>
          <w:r>
            <w:fldChar w:fldCharType="separate"/>
          </w:r>
          <w:r>
            <w:t>32</w:t>
          </w:r>
          <w:r>
            <w:fldChar w:fldCharType="end"/>
          </w:r>
          <w:r>
            <w:fldChar w:fldCharType="end"/>
          </w:r>
        </w:p>
        <w:p w14:paraId="7C69B917">
          <w:pPr>
            <w:pStyle w:val="28"/>
            <w:tabs>
              <w:tab w:val="right" w:leader="dot" w:pos="8844"/>
              <w:tab w:val="clear" w:pos="1680"/>
              <w:tab w:val="clear" w:pos="8296"/>
            </w:tabs>
          </w:pPr>
          <w:r>
            <w:fldChar w:fldCharType="begin"/>
          </w:r>
          <w:r>
            <w:instrText xml:space="preserve"> HYPERLINK \l "_Toc3480" </w:instrText>
          </w:r>
          <w:r>
            <w:fldChar w:fldCharType="separate"/>
          </w:r>
          <w:r>
            <w:rPr>
              <w:rFonts w:hint="eastAsia"/>
            </w:rPr>
            <w:t>第二节 优化村庄布局</w:t>
          </w:r>
          <w:r>
            <w:tab/>
          </w:r>
          <w:r>
            <w:fldChar w:fldCharType="begin"/>
          </w:r>
          <w:r>
            <w:instrText xml:space="preserve"> PAGEREF _Toc3480 \h </w:instrText>
          </w:r>
          <w:r>
            <w:fldChar w:fldCharType="separate"/>
          </w:r>
          <w:r>
            <w:t>33</w:t>
          </w:r>
          <w:r>
            <w:fldChar w:fldCharType="end"/>
          </w:r>
          <w:r>
            <w:fldChar w:fldCharType="end"/>
          </w:r>
        </w:p>
        <w:p w14:paraId="050CA057">
          <w:pPr>
            <w:pStyle w:val="28"/>
            <w:tabs>
              <w:tab w:val="right" w:leader="dot" w:pos="8844"/>
              <w:tab w:val="clear" w:pos="1680"/>
              <w:tab w:val="clear" w:pos="8296"/>
            </w:tabs>
          </w:pPr>
          <w:r>
            <w:fldChar w:fldCharType="begin"/>
          </w:r>
          <w:r>
            <w:instrText xml:space="preserve"> HYPERLINK \l "_Toc10553" </w:instrText>
          </w:r>
          <w:r>
            <w:fldChar w:fldCharType="separate"/>
          </w:r>
          <w:r>
            <w:rPr>
              <w:rFonts w:hint="eastAsia"/>
            </w:rPr>
            <w:t>第三节 优化产业空间布局</w:t>
          </w:r>
          <w:r>
            <w:tab/>
          </w:r>
          <w:r>
            <w:fldChar w:fldCharType="begin"/>
          </w:r>
          <w:r>
            <w:instrText xml:space="preserve"> PAGEREF _Toc10553 \h </w:instrText>
          </w:r>
          <w:r>
            <w:fldChar w:fldCharType="separate"/>
          </w:r>
          <w:r>
            <w:t>34</w:t>
          </w:r>
          <w:r>
            <w:fldChar w:fldCharType="end"/>
          </w:r>
          <w:r>
            <w:fldChar w:fldCharType="end"/>
          </w:r>
        </w:p>
        <w:p w14:paraId="67FCB035">
          <w:pPr>
            <w:pStyle w:val="28"/>
            <w:tabs>
              <w:tab w:val="right" w:leader="dot" w:pos="8844"/>
              <w:tab w:val="clear" w:pos="1680"/>
              <w:tab w:val="clear" w:pos="8296"/>
            </w:tabs>
          </w:pPr>
          <w:r>
            <w:fldChar w:fldCharType="begin"/>
          </w:r>
          <w:r>
            <w:instrText xml:space="preserve"> HYPERLINK \l "_Toc3526" </w:instrText>
          </w:r>
          <w:r>
            <w:fldChar w:fldCharType="separate"/>
          </w:r>
          <w:r>
            <w:rPr>
              <w:rFonts w:hint="eastAsia"/>
            </w:rPr>
            <w:t>第四节 提升城乡公共服务水平</w:t>
          </w:r>
          <w:r>
            <w:tab/>
          </w:r>
          <w:r>
            <w:fldChar w:fldCharType="begin"/>
          </w:r>
          <w:r>
            <w:instrText xml:space="preserve"> PAGEREF _Toc3526 \h </w:instrText>
          </w:r>
          <w:r>
            <w:fldChar w:fldCharType="separate"/>
          </w:r>
          <w:r>
            <w:t>35</w:t>
          </w:r>
          <w:r>
            <w:fldChar w:fldCharType="end"/>
          </w:r>
          <w:r>
            <w:fldChar w:fldCharType="end"/>
          </w:r>
        </w:p>
        <w:p w14:paraId="2CB2E310">
          <w:pPr>
            <w:pStyle w:val="28"/>
            <w:tabs>
              <w:tab w:val="right" w:leader="dot" w:pos="8844"/>
              <w:tab w:val="clear" w:pos="1680"/>
              <w:tab w:val="clear" w:pos="8296"/>
            </w:tabs>
          </w:pPr>
          <w:r>
            <w:fldChar w:fldCharType="begin"/>
          </w:r>
          <w:r>
            <w:instrText xml:space="preserve"> HYPERLINK \l "_Toc25154" </w:instrText>
          </w:r>
          <w:r>
            <w:fldChar w:fldCharType="separate"/>
          </w:r>
          <w:r>
            <w:rPr>
              <w:rFonts w:hint="eastAsia"/>
            </w:rPr>
            <w:t>第五节 推进城乡建设用地节约集约利用</w:t>
          </w:r>
          <w:r>
            <w:tab/>
          </w:r>
          <w:r>
            <w:fldChar w:fldCharType="begin"/>
          </w:r>
          <w:r>
            <w:instrText xml:space="preserve"> PAGEREF _Toc25154 \h </w:instrText>
          </w:r>
          <w:r>
            <w:fldChar w:fldCharType="separate"/>
          </w:r>
          <w:r>
            <w:t>38</w:t>
          </w:r>
          <w:r>
            <w:fldChar w:fldCharType="end"/>
          </w:r>
          <w:r>
            <w:fldChar w:fldCharType="end"/>
          </w:r>
        </w:p>
        <w:p w14:paraId="170B8A39">
          <w:pPr>
            <w:pStyle w:val="23"/>
            <w:tabs>
              <w:tab w:val="right" w:leader="dot" w:pos="8844"/>
              <w:tab w:val="clear" w:pos="1418"/>
              <w:tab w:val="clear" w:pos="8296"/>
            </w:tabs>
          </w:pPr>
          <w:r>
            <w:fldChar w:fldCharType="begin"/>
          </w:r>
          <w:r>
            <w:instrText xml:space="preserve"> HYPERLINK \l "_Toc9494" </w:instrText>
          </w:r>
          <w:r>
            <w:fldChar w:fldCharType="separate"/>
          </w:r>
          <w:r>
            <w:rPr>
              <w:rFonts w:hint="eastAsia"/>
              <w:szCs w:val="36"/>
            </w:rPr>
            <w:t xml:space="preserve">第九章 </w:t>
          </w:r>
          <w:r>
            <w:rPr>
              <w:rFonts w:hint="eastAsia"/>
            </w:rPr>
            <w:t>建设以人为本的中心城区</w:t>
          </w:r>
          <w:r>
            <w:tab/>
          </w:r>
          <w:r>
            <w:fldChar w:fldCharType="begin"/>
          </w:r>
          <w:r>
            <w:instrText xml:space="preserve"> PAGEREF _Toc9494 \h </w:instrText>
          </w:r>
          <w:r>
            <w:fldChar w:fldCharType="separate"/>
          </w:r>
          <w:r>
            <w:t>41</w:t>
          </w:r>
          <w:r>
            <w:fldChar w:fldCharType="end"/>
          </w:r>
          <w:r>
            <w:fldChar w:fldCharType="end"/>
          </w:r>
        </w:p>
        <w:p w14:paraId="4229DD02">
          <w:pPr>
            <w:pStyle w:val="28"/>
            <w:tabs>
              <w:tab w:val="right" w:leader="dot" w:pos="8844"/>
              <w:tab w:val="clear" w:pos="1680"/>
              <w:tab w:val="clear" w:pos="8296"/>
            </w:tabs>
          </w:pPr>
          <w:r>
            <w:fldChar w:fldCharType="begin"/>
          </w:r>
          <w:r>
            <w:instrText xml:space="preserve"> HYPERLINK \l "_Toc1963" </w:instrText>
          </w:r>
          <w:r>
            <w:fldChar w:fldCharType="separate"/>
          </w:r>
          <w:r>
            <w:rPr>
              <w:rFonts w:hint="eastAsia"/>
            </w:rPr>
            <w:t>第一节 完善城市空间结构与功能布局</w:t>
          </w:r>
          <w:r>
            <w:tab/>
          </w:r>
          <w:r>
            <w:fldChar w:fldCharType="begin"/>
          </w:r>
          <w:r>
            <w:instrText xml:space="preserve"> PAGEREF _Toc1963 \h </w:instrText>
          </w:r>
          <w:r>
            <w:fldChar w:fldCharType="separate"/>
          </w:r>
          <w:r>
            <w:t>41</w:t>
          </w:r>
          <w:r>
            <w:fldChar w:fldCharType="end"/>
          </w:r>
          <w:r>
            <w:fldChar w:fldCharType="end"/>
          </w:r>
        </w:p>
        <w:p w14:paraId="0663DCF8">
          <w:pPr>
            <w:pStyle w:val="28"/>
            <w:tabs>
              <w:tab w:val="right" w:leader="dot" w:pos="8844"/>
              <w:tab w:val="clear" w:pos="1680"/>
              <w:tab w:val="clear" w:pos="8296"/>
            </w:tabs>
          </w:pPr>
          <w:r>
            <w:fldChar w:fldCharType="begin"/>
          </w:r>
          <w:r>
            <w:instrText xml:space="preserve"> HYPERLINK \l "_Toc23273" </w:instrText>
          </w:r>
          <w:r>
            <w:fldChar w:fldCharType="separate"/>
          </w:r>
          <w:r>
            <w:rPr>
              <w:rFonts w:hint="eastAsia"/>
            </w:rPr>
            <w:t>第二节 建立城市公共空间与蓝绿网络</w:t>
          </w:r>
          <w:r>
            <w:tab/>
          </w:r>
          <w:r>
            <w:fldChar w:fldCharType="begin"/>
          </w:r>
          <w:r>
            <w:instrText xml:space="preserve"> PAGEREF _Toc23273 \h </w:instrText>
          </w:r>
          <w:r>
            <w:fldChar w:fldCharType="separate"/>
          </w:r>
          <w:r>
            <w:t>43</w:t>
          </w:r>
          <w:r>
            <w:fldChar w:fldCharType="end"/>
          </w:r>
          <w:r>
            <w:fldChar w:fldCharType="end"/>
          </w:r>
        </w:p>
        <w:p w14:paraId="5E34BDF4">
          <w:pPr>
            <w:pStyle w:val="28"/>
            <w:tabs>
              <w:tab w:val="right" w:leader="dot" w:pos="8844"/>
              <w:tab w:val="clear" w:pos="1680"/>
              <w:tab w:val="clear" w:pos="8296"/>
            </w:tabs>
          </w:pPr>
          <w:r>
            <w:fldChar w:fldCharType="begin"/>
          </w:r>
          <w:r>
            <w:instrText xml:space="preserve"> HYPERLINK \l "_Toc15277" </w:instrText>
          </w:r>
          <w:r>
            <w:fldChar w:fldCharType="separate"/>
          </w:r>
          <w:r>
            <w:rPr>
              <w:rFonts w:hint="eastAsia"/>
            </w:rPr>
            <w:t>第三节 优化生活空间布局</w:t>
          </w:r>
          <w:r>
            <w:tab/>
          </w:r>
          <w:r>
            <w:fldChar w:fldCharType="begin"/>
          </w:r>
          <w:r>
            <w:instrText xml:space="preserve"> PAGEREF _Toc15277 \h </w:instrText>
          </w:r>
          <w:r>
            <w:fldChar w:fldCharType="separate"/>
          </w:r>
          <w:r>
            <w:t>44</w:t>
          </w:r>
          <w:r>
            <w:fldChar w:fldCharType="end"/>
          </w:r>
          <w:r>
            <w:fldChar w:fldCharType="end"/>
          </w:r>
        </w:p>
        <w:p w14:paraId="5CF17836">
          <w:pPr>
            <w:pStyle w:val="28"/>
            <w:tabs>
              <w:tab w:val="right" w:leader="dot" w:pos="8844"/>
              <w:tab w:val="clear" w:pos="1680"/>
              <w:tab w:val="clear" w:pos="8296"/>
            </w:tabs>
          </w:pPr>
          <w:r>
            <w:fldChar w:fldCharType="begin"/>
          </w:r>
          <w:r>
            <w:instrText xml:space="preserve"> HYPERLINK \l "_Toc26525" </w:instrText>
          </w:r>
          <w:r>
            <w:fldChar w:fldCharType="separate"/>
          </w:r>
          <w:r>
            <w:rPr>
              <w:rFonts w:hint="eastAsia"/>
            </w:rPr>
            <w:t>第四节 科学布局公共服务设施</w:t>
          </w:r>
          <w:r>
            <w:tab/>
          </w:r>
          <w:r>
            <w:fldChar w:fldCharType="begin"/>
          </w:r>
          <w:r>
            <w:instrText xml:space="preserve"> PAGEREF _Toc26525 \h </w:instrText>
          </w:r>
          <w:r>
            <w:fldChar w:fldCharType="separate"/>
          </w:r>
          <w:r>
            <w:t>44</w:t>
          </w:r>
          <w:r>
            <w:fldChar w:fldCharType="end"/>
          </w:r>
          <w:r>
            <w:fldChar w:fldCharType="end"/>
          </w:r>
        </w:p>
        <w:p w14:paraId="2FD89727">
          <w:pPr>
            <w:pStyle w:val="28"/>
            <w:tabs>
              <w:tab w:val="right" w:leader="dot" w:pos="8844"/>
              <w:tab w:val="clear" w:pos="1680"/>
              <w:tab w:val="clear" w:pos="8296"/>
            </w:tabs>
          </w:pPr>
          <w:r>
            <w:fldChar w:fldCharType="begin"/>
          </w:r>
          <w:r>
            <w:instrText xml:space="preserve"> HYPERLINK \l "_Toc8196" </w:instrText>
          </w:r>
          <w:r>
            <w:fldChar w:fldCharType="separate"/>
          </w:r>
          <w:r>
            <w:rPr>
              <w:rFonts w:hint="eastAsia"/>
            </w:rPr>
            <w:t>第五节 完善工业和仓储物流用地布局</w:t>
          </w:r>
          <w:r>
            <w:tab/>
          </w:r>
          <w:r>
            <w:fldChar w:fldCharType="begin"/>
          </w:r>
          <w:r>
            <w:instrText xml:space="preserve"> PAGEREF _Toc8196 \h </w:instrText>
          </w:r>
          <w:r>
            <w:fldChar w:fldCharType="separate"/>
          </w:r>
          <w:r>
            <w:t>45</w:t>
          </w:r>
          <w:r>
            <w:fldChar w:fldCharType="end"/>
          </w:r>
          <w:r>
            <w:fldChar w:fldCharType="end"/>
          </w:r>
        </w:p>
        <w:p w14:paraId="02A13291">
          <w:pPr>
            <w:pStyle w:val="28"/>
            <w:tabs>
              <w:tab w:val="right" w:leader="dot" w:pos="8844"/>
              <w:tab w:val="clear" w:pos="1680"/>
              <w:tab w:val="clear" w:pos="8296"/>
            </w:tabs>
          </w:pPr>
          <w:r>
            <w:fldChar w:fldCharType="begin"/>
          </w:r>
          <w:r>
            <w:instrText xml:space="preserve"> HYPERLINK \l "_Toc3413" </w:instrText>
          </w:r>
          <w:r>
            <w:fldChar w:fldCharType="separate"/>
          </w:r>
          <w:r>
            <w:rPr>
              <w:rFonts w:hint="eastAsia"/>
            </w:rPr>
            <w:t>第六节 畅通城市交通网络</w:t>
          </w:r>
          <w:r>
            <w:tab/>
          </w:r>
          <w:r>
            <w:fldChar w:fldCharType="begin"/>
          </w:r>
          <w:r>
            <w:instrText xml:space="preserve"> PAGEREF _Toc3413 \h </w:instrText>
          </w:r>
          <w:r>
            <w:fldChar w:fldCharType="separate"/>
          </w:r>
          <w:r>
            <w:t>46</w:t>
          </w:r>
          <w:r>
            <w:fldChar w:fldCharType="end"/>
          </w:r>
          <w:r>
            <w:fldChar w:fldCharType="end"/>
          </w:r>
        </w:p>
        <w:p w14:paraId="0BFDB29B">
          <w:pPr>
            <w:pStyle w:val="28"/>
            <w:tabs>
              <w:tab w:val="right" w:leader="dot" w:pos="8844"/>
              <w:tab w:val="clear" w:pos="1680"/>
              <w:tab w:val="clear" w:pos="8296"/>
            </w:tabs>
          </w:pPr>
          <w:r>
            <w:fldChar w:fldCharType="begin"/>
          </w:r>
          <w:r>
            <w:instrText xml:space="preserve"> HYPERLINK \l "_Toc24645" </w:instrText>
          </w:r>
          <w:r>
            <w:fldChar w:fldCharType="separate"/>
          </w:r>
          <w:r>
            <w:rPr>
              <w:rFonts w:hint="eastAsia"/>
            </w:rPr>
            <w:t>第七节 优化完善市政基础设施</w:t>
          </w:r>
          <w:r>
            <w:tab/>
          </w:r>
          <w:r>
            <w:fldChar w:fldCharType="begin"/>
          </w:r>
          <w:r>
            <w:instrText xml:space="preserve"> PAGEREF _Toc24645 \h </w:instrText>
          </w:r>
          <w:r>
            <w:fldChar w:fldCharType="separate"/>
          </w:r>
          <w:r>
            <w:t>47</w:t>
          </w:r>
          <w:r>
            <w:fldChar w:fldCharType="end"/>
          </w:r>
          <w:r>
            <w:fldChar w:fldCharType="end"/>
          </w:r>
        </w:p>
        <w:p w14:paraId="5253E953">
          <w:pPr>
            <w:pStyle w:val="28"/>
            <w:tabs>
              <w:tab w:val="right" w:leader="dot" w:pos="8844"/>
              <w:tab w:val="clear" w:pos="1680"/>
              <w:tab w:val="clear" w:pos="8296"/>
            </w:tabs>
          </w:pPr>
          <w:r>
            <w:fldChar w:fldCharType="begin"/>
          </w:r>
          <w:r>
            <w:instrText xml:space="preserve"> HYPERLINK \l "_Toc15233" </w:instrText>
          </w:r>
          <w:r>
            <w:fldChar w:fldCharType="separate"/>
          </w:r>
          <w:r>
            <w:rPr>
              <w:rFonts w:hint="eastAsia"/>
            </w:rPr>
            <w:t>第八节 提升安全韧性</w:t>
          </w:r>
          <w:r>
            <w:tab/>
          </w:r>
          <w:r>
            <w:fldChar w:fldCharType="begin"/>
          </w:r>
          <w:r>
            <w:instrText xml:space="preserve"> PAGEREF _Toc15233 \h </w:instrText>
          </w:r>
          <w:r>
            <w:fldChar w:fldCharType="separate"/>
          </w:r>
          <w:r>
            <w:t>49</w:t>
          </w:r>
          <w:r>
            <w:fldChar w:fldCharType="end"/>
          </w:r>
          <w:r>
            <w:fldChar w:fldCharType="end"/>
          </w:r>
        </w:p>
        <w:p w14:paraId="791DA62C">
          <w:pPr>
            <w:pStyle w:val="28"/>
            <w:tabs>
              <w:tab w:val="right" w:leader="dot" w:pos="8844"/>
              <w:tab w:val="clear" w:pos="1680"/>
              <w:tab w:val="clear" w:pos="8296"/>
            </w:tabs>
          </w:pPr>
          <w:r>
            <w:fldChar w:fldCharType="begin"/>
          </w:r>
          <w:r>
            <w:instrText xml:space="preserve"> HYPERLINK \l "_Toc32664" </w:instrText>
          </w:r>
          <w:r>
            <w:fldChar w:fldCharType="separate"/>
          </w:r>
          <w:r>
            <w:rPr>
              <w:rFonts w:hint="eastAsia"/>
            </w:rPr>
            <w:t>第九节 塑造城市空间形态</w:t>
          </w:r>
          <w:r>
            <w:tab/>
          </w:r>
          <w:r>
            <w:fldChar w:fldCharType="begin"/>
          </w:r>
          <w:r>
            <w:instrText xml:space="preserve"> PAGEREF _Toc32664 \h </w:instrText>
          </w:r>
          <w:r>
            <w:fldChar w:fldCharType="separate"/>
          </w:r>
          <w:r>
            <w:t>51</w:t>
          </w:r>
          <w:r>
            <w:fldChar w:fldCharType="end"/>
          </w:r>
          <w:r>
            <w:fldChar w:fldCharType="end"/>
          </w:r>
        </w:p>
        <w:p w14:paraId="7B66690E">
          <w:pPr>
            <w:pStyle w:val="28"/>
            <w:tabs>
              <w:tab w:val="right" w:leader="dot" w:pos="8844"/>
              <w:tab w:val="clear" w:pos="1680"/>
              <w:tab w:val="clear" w:pos="8296"/>
            </w:tabs>
          </w:pPr>
          <w:r>
            <w:fldChar w:fldCharType="begin"/>
          </w:r>
          <w:r>
            <w:instrText xml:space="preserve"> HYPERLINK \l "_Toc31773" </w:instrText>
          </w:r>
          <w:r>
            <w:fldChar w:fldCharType="separate"/>
          </w:r>
          <w:r>
            <w:rPr>
              <w:rFonts w:hint="eastAsia"/>
            </w:rPr>
            <w:t>第十节 推进城市更新</w:t>
          </w:r>
          <w:r>
            <w:tab/>
          </w:r>
          <w:r>
            <w:fldChar w:fldCharType="begin"/>
          </w:r>
          <w:r>
            <w:instrText xml:space="preserve"> PAGEREF _Toc31773 \h </w:instrText>
          </w:r>
          <w:r>
            <w:fldChar w:fldCharType="separate"/>
          </w:r>
          <w:r>
            <w:t>53</w:t>
          </w:r>
          <w:r>
            <w:fldChar w:fldCharType="end"/>
          </w:r>
          <w:r>
            <w:fldChar w:fldCharType="end"/>
          </w:r>
        </w:p>
        <w:p w14:paraId="08D49D54">
          <w:pPr>
            <w:pStyle w:val="28"/>
            <w:tabs>
              <w:tab w:val="right" w:leader="dot" w:pos="8844"/>
              <w:tab w:val="clear" w:pos="1680"/>
              <w:tab w:val="clear" w:pos="8296"/>
            </w:tabs>
          </w:pPr>
          <w:r>
            <w:fldChar w:fldCharType="begin"/>
          </w:r>
          <w:r>
            <w:instrText xml:space="preserve"> HYPERLINK \l "_Toc3490" </w:instrText>
          </w:r>
          <w:r>
            <w:fldChar w:fldCharType="separate"/>
          </w:r>
          <w:r>
            <w:rPr>
              <w:rFonts w:hint="eastAsia"/>
            </w:rPr>
            <w:t>第十一节 地下空间开发利用</w:t>
          </w:r>
          <w:r>
            <w:tab/>
          </w:r>
          <w:r>
            <w:fldChar w:fldCharType="begin"/>
          </w:r>
          <w:r>
            <w:instrText xml:space="preserve"> PAGEREF _Toc3490 \h </w:instrText>
          </w:r>
          <w:r>
            <w:fldChar w:fldCharType="separate"/>
          </w:r>
          <w:r>
            <w:t>53</w:t>
          </w:r>
          <w:r>
            <w:fldChar w:fldCharType="end"/>
          </w:r>
          <w:r>
            <w:fldChar w:fldCharType="end"/>
          </w:r>
        </w:p>
        <w:p w14:paraId="7A12A9E8">
          <w:pPr>
            <w:pStyle w:val="28"/>
            <w:tabs>
              <w:tab w:val="right" w:leader="dot" w:pos="8844"/>
              <w:tab w:val="clear" w:pos="1680"/>
              <w:tab w:val="clear" w:pos="8296"/>
            </w:tabs>
          </w:pPr>
          <w:r>
            <w:fldChar w:fldCharType="begin"/>
          </w:r>
          <w:r>
            <w:instrText xml:space="preserve"> HYPERLINK \l "_Toc24455" </w:instrText>
          </w:r>
          <w:r>
            <w:fldChar w:fldCharType="separate"/>
          </w:r>
          <w:r>
            <w:rPr>
              <w:rFonts w:hint="eastAsia"/>
            </w:rPr>
            <w:t>第十二节 划定中心城区城市控制线</w:t>
          </w:r>
          <w:r>
            <w:tab/>
          </w:r>
          <w:r>
            <w:fldChar w:fldCharType="begin"/>
          </w:r>
          <w:r>
            <w:instrText xml:space="preserve"> PAGEREF _Toc24455 \h </w:instrText>
          </w:r>
          <w:r>
            <w:fldChar w:fldCharType="separate"/>
          </w:r>
          <w:r>
            <w:t>54</w:t>
          </w:r>
          <w:r>
            <w:fldChar w:fldCharType="end"/>
          </w:r>
          <w:r>
            <w:fldChar w:fldCharType="end"/>
          </w:r>
        </w:p>
        <w:p w14:paraId="6FF7FCEA">
          <w:pPr>
            <w:pStyle w:val="23"/>
            <w:tabs>
              <w:tab w:val="right" w:leader="dot" w:pos="8844"/>
              <w:tab w:val="clear" w:pos="1418"/>
              <w:tab w:val="clear" w:pos="8296"/>
            </w:tabs>
          </w:pPr>
          <w:r>
            <w:fldChar w:fldCharType="begin"/>
          </w:r>
          <w:r>
            <w:instrText xml:space="preserve"> HYPERLINK \l "_Toc17253" </w:instrText>
          </w:r>
          <w:r>
            <w:fldChar w:fldCharType="separate"/>
          </w:r>
          <w:r>
            <w:rPr>
              <w:rFonts w:hint="eastAsia"/>
              <w:szCs w:val="36"/>
            </w:rPr>
            <w:t xml:space="preserve">第十章 </w:t>
          </w:r>
          <w:r>
            <w:rPr>
              <w:rFonts w:hint="eastAsia"/>
            </w:rPr>
            <w:t>围绕大运河世界文化遗产塑造魅力体系</w:t>
          </w:r>
          <w:r>
            <w:tab/>
          </w:r>
          <w:r>
            <w:fldChar w:fldCharType="begin"/>
          </w:r>
          <w:r>
            <w:instrText xml:space="preserve"> PAGEREF _Toc17253 \h </w:instrText>
          </w:r>
          <w:r>
            <w:fldChar w:fldCharType="separate"/>
          </w:r>
          <w:r>
            <w:t>56</w:t>
          </w:r>
          <w:r>
            <w:fldChar w:fldCharType="end"/>
          </w:r>
          <w:r>
            <w:fldChar w:fldCharType="end"/>
          </w:r>
        </w:p>
        <w:p w14:paraId="4A4BA036">
          <w:pPr>
            <w:pStyle w:val="28"/>
            <w:tabs>
              <w:tab w:val="right" w:leader="dot" w:pos="8844"/>
              <w:tab w:val="clear" w:pos="1680"/>
              <w:tab w:val="clear" w:pos="8296"/>
            </w:tabs>
          </w:pPr>
          <w:r>
            <w:fldChar w:fldCharType="begin"/>
          </w:r>
          <w:r>
            <w:instrText xml:space="preserve"> HYPERLINK \l "_Toc1111" </w:instrText>
          </w:r>
          <w:r>
            <w:fldChar w:fldCharType="separate"/>
          </w:r>
          <w:r>
            <w:rPr>
              <w:rFonts w:hint="eastAsia"/>
            </w:rPr>
            <w:t>第一节 完善历史文化保护体系</w:t>
          </w:r>
          <w:r>
            <w:tab/>
          </w:r>
          <w:r>
            <w:fldChar w:fldCharType="begin"/>
          </w:r>
          <w:r>
            <w:instrText xml:space="preserve"> PAGEREF _Toc1111 \h </w:instrText>
          </w:r>
          <w:r>
            <w:fldChar w:fldCharType="separate"/>
          </w:r>
          <w:r>
            <w:t>56</w:t>
          </w:r>
          <w:r>
            <w:fldChar w:fldCharType="end"/>
          </w:r>
          <w:r>
            <w:fldChar w:fldCharType="end"/>
          </w:r>
        </w:p>
        <w:p w14:paraId="7C84E53D">
          <w:pPr>
            <w:pStyle w:val="28"/>
            <w:tabs>
              <w:tab w:val="right" w:leader="dot" w:pos="8844"/>
              <w:tab w:val="clear" w:pos="1680"/>
              <w:tab w:val="clear" w:pos="8296"/>
            </w:tabs>
          </w:pPr>
          <w:r>
            <w:fldChar w:fldCharType="begin"/>
          </w:r>
          <w:r>
            <w:instrText xml:space="preserve"> HYPERLINK \l "_Toc20562" </w:instrText>
          </w:r>
          <w:r>
            <w:fldChar w:fldCharType="separate"/>
          </w:r>
          <w:r>
            <w:rPr>
              <w:rFonts w:hint="eastAsia"/>
            </w:rPr>
            <w:t>第二节 共建大运河文化公园</w:t>
          </w:r>
          <w:r>
            <w:tab/>
          </w:r>
          <w:r>
            <w:fldChar w:fldCharType="begin"/>
          </w:r>
          <w:r>
            <w:instrText xml:space="preserve"> PAGEREF _Toc20562 \h </w:instrText>
          </w:r>
          <w:r>
            <w:fldChar w:fldCharType="separate"/>
          </w:r>
          <w:r>
            <w:t>57</w:t>
          </w:r>
          <w:r>
            <w:fldChar w:fldCharType="end"/>
          </w:r>
          <w:r>
            <w:fldChar w:fldCharType="end"/>
          </w:r>
        </w:p>
        <w:p w14:paraId="2EE18E37">
          <w:pPr>
            <w:pStyle w:val="28"/>
            <w:tabs>
              <w:tab w:val="right" w:leader="dot" w:pos="8844"/>
              <w:tab w:val="clear" w:pos="1680"/>
              <w:tab w:val="clear" w:pos="8296"/>
            </w:tabs>
          </w:pPr>
          <w:r>
            <w:fldChar w:fldCharType="begin"/>
          </w:r>
          <w:r>
            <w:instrText xml:space="preserve"> HYPERLINK \l "_Toc669" </w:instrText>
          </w:r>
          <w:r>
            <w:fldChar w:fldCharType="separate"/>
          </w:r>
          <w:r>
            <w:rPr>
              <w:rFonts w:hint="eastAsia"/>
            </w:rPr>
            <w:t>第三节 塑造特色鲜明的的城乡风貌</w:t>
          </w:r>
          <w:r>
            <w:tab/>
          </w:r>
          <w:r>
            <w:fldChar w:fldCharType="begin"/>
          </w:r>
          <w:r>
            <w:instrText xml:space="preserve"> PAGEREF _Toc669 \h </w:instrText>
          </w:r>
          <w:r>
            <w:fldChar w:fldCharType="separate"/>
          </w:r>
          <w:r>
            <w:t>57</w:t>
          </w:r>
          <w:r>
            <w:fldChar w:fldCharType="end"/>
          </w:r>
          <w:r>
            <w:fldChar w:fldCharType="end"/>
          </w:r>
        </w:p>
        <w:p w14:paraId="189C9770">
          <w:pPr>
            <w:pStyle w:val="23"/>
            <w:tabs>
              <w:tab w:val="right" w:leader="dot" w:pos="8844"/>
              <w:tab w:val="clear" w:pos="1418"/>
              <w:tab w:val="clear" w:pos="8296"/>
            </w:tabs>
          </w:pPr>
          <w:r>
            <w:fldChar w:fldCharType="begin"/>
          </w:r>
          <w:r>
            <w:instrText xml:space="preserve"> HYPERLINK \l "_Toc8438" </w:instrText>
          </w:r>
          <w:r>
            <w:fldChar w:fldCharType="separate"/>
          </w:r>
          <w:r>
            <w:rPr>
              <w:rFonts w:hint="eastAsia"/>
              <w:szCs w:val="36"/>
            </w:rPr>
            <w:t xml:space="preserve">第十一章 </w:t>
          </w:r>
          <w:r>
            <w:rPr>
              <w:rFonts w:hint="eastAsia"/>
            </w:rPr>
            <w:t>保障重大基础设施建设</w:t>
          </w:r>
          <w:r>
            <w:tab/>
          </w:r>
          <w:r>
            <w:fldChar w:fldCharType="begin"/>
          </w:r>
          <w:r>
            <w:instrText xml:space="preserve"> PAGEREF _Toc8438 \h </w:instrText>
          </w:r>
          <w:r>
            <w:fldChar w:fldCharType="separate"/>
          </w:r>
          <w:r>
            <w:t>59</w:t>
          </w:r>
          <w:r>
            <w:fldChar w:fldCharType="end"/>
          </w:r>
          <w:r>
            <w:fldChar w:fldCharType="end"/>
          </w:r>
        </w:p>
        <w:p w14:paraId="4231BDE3">
          <w:pPr>
            <w:pStyle w:val="28"/>
            <w:tabs>
              <w:tab w:val="right" w:leader="dot" w:pos="8844"/>
              <w:tab w:val="clear" w:pos="1680"/>
              <w:tab w:val="clear" w:pos="8296"/>
            </w:tabs>
          </w:pPr>
          <w:r>
            <w:fldChar w:fldCharType="begin"/>
          </w:r>
          <w:r>
            <w:instrText xml:space="preserve"> HYPERLINK \l "_Toc32370" </w:instrText>
          </w:r>
          <w:r>
            <w:fldChar w:fldCharType="separate"/>
          </w:r>
          <w:r>
            <w:rPr>
              <w:rFonts w:hint="eastAsia"/>
            </w:rPr>
            <w:t>第一节 建立畅达便捷综合交通体系</w:t>
          </w:r>
          <w:r>
            <w:tab/>
          </w:r>
          <w:r>
            <w:fldChar w:fldCharType="begin"/>
          </w:r>
          <w:r>
            <w:instrText xml:space="preserve"> PAGEREF _Toc32370 \h </w:instrText>
          </w:r>
          <w:r>
            <w:fldChar w:fldCharType="separate"/>
          </w:r>
          <w:r>
            <w:t>59</w:t>
          </w:r>
          <w:r>
            <w:fldChar w:fldCharType="end"/>
          </w:r>
          <w:r>
            <w:fldChar w:fldCharType="end"/>
          </w:r>
        </w:p>
        <w:p w14:paraId="23B365CA">
          <w:pPr>
            <w:pStyle w:val="28"/>
            <w:tabs>
              <w:tab w:val="right" w:leader="dot" w:pos="8844"/>
              <w:tab w:val="clear" w:pos="1680"/>
              <w:tab w:val="clear" w:pos="8296"/>
            </w:tabs>
          </w:pPr>
          <w:r>
            <w:fldChar w:fldCharType="begin"/>
          </w:r>
          <w:r>
            <w:instrText xml:space="preserve"> HYPERLINK \l "_Toc29655" </w:instrText>
          </w:r>
          <w:r>
            <w:fldChar w:fldCharType="separate"/>
          </w:r>
          <w:r>
            <w:rPr>
              <w:rFonts w:hint="eastAsia"/>
            </w:rPr>
            <w:t>第二节 完善资源能源基础设施布局</w:t>
          </w:r>
          <w:r>
            <w:tab/>
          </w:r>
          <w:r>
            <w:fldChar w:fldCharType="begin"/>
          </w:r>
          <w:r>
            <w:instrText xml:space="preserve"> PAGEREF _Toc29655 \h </w:instrText>
          </w:r>
          <w:r>
            <w:fldChar w:fldCharType="separate"/>
          </w:r>
          <w:r>
            <w:t>60</w:t>
          </w:r>
          <w:r>
            <w:fldChar w:fldCharType="end"/>
          </w:r>
          <w:r>
            <w:fldChar w:fldCharType="end"/>
          </w:r>
        </w:p>
        <w:p w14:paraId="3F54A78A">
          <w:pPr>
            <w:pStyle w:val="28"/>
            <w:tabs>
              <w:tab w:val="right" w:leader="dot" w:pos="8844"/>
              <w:tab w:val="clear" w:pos="1680"/>
              <w:tab w:val="clear" w:pos="8296"/>
            </w:tabs>
          </w:pPr>
          <w:r>
            <w:fldChar w:fldCharType="begin"/>
          </w:r>
          <w:r>
            <w:instrText xml:space="preserve"> HYPERLINK \l "_Toc968" </w:instrText>
          </w:r>
          <w:r>
            <w:fldChar w:fldCharType="separate"/>
          </w:r>
          <w:r>
            <w:rPr>
              <w:rFonts w:hint="eastAsia"/>
            </w:rPr>
            <w:t>第三节 构建综合安全防灾体系</w:t>
          </w:r>
          <w:r>
            <w:tab/>
          </w:r>
          <w:r>
            <w:fldChar w:fldCharType="begin"/>
          </w:r>
          <w:r>
            <w:instrText xml:space="preserve"> PAGEREF _Toc968 \h </w:instrText>
          </w:r>
          <w:r>
            <w:fldChar w:fldCharType="separate"/>
          </w:r>
          <w:r>
            <w:t>62</w:t>
          </w:r>
          <w:r>
            <w:fldChar w:fldCharType="end"/>
          </w:r>
          <w:r>
            <w:fldChar w:fldCharType="end"/>
          </w:r>
        </w:p>
        <w:p w14:paraId="24BF0B5D">
          <w:pPr>
            <w:pStyle w:val="23"/>
            <w:tabs>
              <w:tab w:val="right" w:leader="dot" w:pos="8844"/>
              <w:tab w:val="clear" w:pos="1418"/>
              <w:tab w:val="clear" w:pos="8296"/>
            </w:tabs>
          </w:pPr>
          <w:r>
            <w:fldChar w:fldCharType="begin"/>
          </w:r>
          <w:r>
            <w:instrText xml:space="preserve"> HYPERLINK \l "_Toc30343" </w:instrText>
          </w:r>
          <w:r>
            <w:fldChar w:fldCharType="separate"/>
          </w:r>
          <w:r>
            <w:rPr>
              <w:rFonts w:hint="eastAsia"/>
              <w:szCs w:val="36"/>
            </w:rPr>
            <w:t xml:space="preserve">第十二章 </w:t>
          </w:r>
          <w:r>
            <w:rPr>
              <w:rFonts w:hint="eastAsia"/>
            </w:rPr>
            <w:t>完善传导实施机制</w:t>
          </w:r>
          <w:r>
            <w:tab/>
          </w:r>
          <w:r>
            <w:fldChar w:fldCharType="begin"/>
          </w:r>
          <w:r>
            <w:instrText xml:space="preserve"> PAGEREF _Toc30343 \h </w:instrText>
          </w:r>
          <w:r>
            <w:fldChar w:fldCharType="separate"/>
          </w:r>
          <w:r>
            <w:t>68</w:t>
          </w:r>
          <w:r>
            <w:fldChar w:fldCharType="end"/>
          </w:r>
          <w:r>
            <w:fldChar w:fldCharType="end"/>
          </w:r>
        </w:p>
        <w:p w14:paraId="679E64BB">
          <w:pPr>
            <w:pStyle w:val="28"/>
            <w:tabs>
              <w:tab w:val="right" w:leader="dot" w:pos="8844"/>
              <w:tab w:val="clear" w:pos="1680"/>
              <w:tab w:val="clear" w:pos="8296"/>
            </w:tabs>
          </w:pPr>
          <w:r>
            <w:fldChar w:fldCharType="begin"/>
          </w:r>
          <w:r>
            <w:instrText xml:space="preserve"> HYPERLINK \l "_Toc7626" </w:instrText>
          </w:r>
          <w:r>
            <w:fldChar w:fldCharType="separate"/>
          </w:r>
          <w:r>
            <w:rPr>
              <w:rFonts w:hint="eastAsia"/>
            </w:rPr>
            <w:t>第一节 加强党的领导</w:t>
          </w:r>
          <w:r>
            <w:tab/>
          </w:r>
          <w:r>
            <w:fldChar w:fldCharType="begin"/>
          </w:r>
          <w:r>
            <w:instrText xml:space="preserve"> PAGEREF _Toc7626 \h </w:instrText>
          </w:r>
          <w:r>
            <w:fldChar w:fldCharType="separate"/>
          </w:r>
          <w:r>
            <w:t>68</w:t>
          </w:r>
          <w:r>
            <w:fldChar w:fldCharType="end"/>
          </w:r>
          <w:r>
            <w:fldChar w:fldCharType="end"/>
          </w:r>
        </w:p>
        <w:p w14:paraId="44C91B5B">
          <w:pPr>
            <w:pStyle w:val="28"/>
            <w:tabs>
              <w:tab w:val="right" w:leader="dot" w:pos="8844"/>
              <w:tab w:val="clear" w:pos="1680"/>
              <w:tab w:val="clear" w:pos="8296"/>
            </w:tabs>
          </w:pPr>
          <w:r>
            <w:fldChar w:fldCharType="begin"/>
          </w:r>
          <w:r>
            <w:instrText xml:space="preserve"> HYPERLINK \l "_Toc13296" </w:instrText>
          </w:r>
          <w:r>
            <w:fldChar w:fldCharType="separate"/>
          </w:r>
          <w:r>
            <w:rPr>
              <w:rFonts w:hint="eastAsia"/>
            </w:rPr>
            <w:t>第二节 完善规划体系加强规划传导</w:t>
          </w:r>
          <w:r>
            <w:tab/>
          </w:r>
          <w:r>
            <w:fldChar w:fldCharType="begin"/>
          </w:r>
          <w:r>
            <w:instrText xml:space="preserve"> PAGEREF _Toc13296 \h </w:instrText>
          </w:r>
          <w:r>
            <w:fldChar w:fldCharType="separate"/>
          </w:r>
          <w:r>
            <w:t>69</w:t>
          </w:r>
          <w:r>
            <w:fldChar w:fldCharType="end"/>
          </w:r>
          <w:r>
            <w:fldChar w:fldCharType="end"/>
          </w:r>
        </w:p>
        <w:p w14:paraId="4DF5C91D">
          <w:pPr>
            <w:pStyle w:val="28"/>
            <w:tabs>
              <w:tab w:val="right" w:leader="dot" w:pos="8844"/>
              <w:tab w:val="clear" w:pos="1680"/>
              <w:tab w:val="clear" w:pos="8296"/>
            </w:tabs>
          </w:pPr>
          <w:r>
            <w:fldChar w:fldCharType="begin"/>
          </w:r>
          <w:r>
            <w:instrText xml:space="preserve"> HYPERLINK \l "_Toc28253" </w:instrText>
          </w:r>
          <w:r>
            <w:fldChar w:fldCharType="separate"/>
          </w:r>
          <w:r>
            <w:rPr>
              <w:rFonts w:hint="eastAsia"/>
            </w:rPr>
            <w:t>第三节 加强规划全生命周期管理</w:t>
          </w:r>
          <w:r>
            <w:tab/>
          </w:r>
          <w:r>
            <w:fldChar w:fldCharType="begin"/>
          </w:r>
          <w:r>
            <w:instrText xml:space="preserve"> PAGEREF _Toc28253 \h </w:instrText>
          </w:r>
          <w:r>
            <w:fldChar w:fldCharType="separate"/>
          </w:r>
          <w:r>
            <w:t>69</w:t>
          </w:r>
          <w:r>
            <w:fldChar w:fldCharType="end"/>
          </w:r>
          <w:r>
            <w:fldChar w:fldCharType="end"/>
          </w:r>
        </w:p>
        <w:p w14:paraId="3D977C1F">
          <w:pPr>
            <w:pStyle w:val="28"/>
            <w:tabs>
              <w:tab w:val="right" w:leader="dot" w:pos="8844"/>
              <w:tab w:val="clear" w:pos="1680"/>
              <w:tab w:val="clear" w:pos="8296"/>
            </w:tabs>
          </w:pPr>
          <w:r>
            <w:fldChar w:fldCharType="begin"/>
          </w:r>
          <w:r>
            <w:instrText xml:space="preserve"> HYPERLINK \l "_Toc9833" </w:instrText>
          </w:r>
          <w:r>
            <w:fldChar w:fldCharType="separate"/>
          </w:r>
          <w:r>
            <w:rPr>
              <w:rFonts w:hint="eastAsia"/>
            </w:rPr>
            <w:t>第四节 推进政策制度保障</w:t>
          </w:r>
          <w:r>
            <w:tab/>
          </w:r>
          <w:r>
            <w:fldChar w:fldCharType="begin"/>
          </w:r>
          <w:r>
            <w:instrText xml:space="preserve"> PAGEREF _Toc9833 \h </w:instrText>
          </w:r>
          <w:r>
            <w:fldChar w:fldCharType="separate"/>
          </w:r>
          <w:r>
            <w:t>71</w:t>
          </w:r>
          <w:r>
            <w:fldChar w:fldCharType="end"/>
          </w:r>
          <w:r>
            <w:fldChar w:fldCharType="end"/>
          </w:r>
        </w:p>
        <w:p w14:paraId="1EA283EF">
          <w:pPr>
            <w:pStyle w:val="28"/>
            <w:tabs>
              <w:tab w:val="right" w:leader="dot" w:pos="8844"/>
              <w:tab w:val="clear" w:pos="1680"/>
              <w:tab w:val="clear" w:pos="8296"/>
            </w:tabs>
          </w:pPr>
          <w:r>
            <w:fldChar w:fldCharType="begin"/>
          </w:r>
          <w:r>
            <w:instrText xml:space="preserve"> HYPERLINK \l "_Toc28282" </w:instrText>
          </w:r>
          <w:r>
            <w:fldChar w:fldCharType="separate"/>
          </w:r>
          <w:r>
            <w:rPr>
              <w:rFonts w:hint="eastAsia"/>
            </w:rPr>
            <w:t>第五节 做好规划近期实施安排</w:t>
          </w:r>
          <w:r>
            <w:tab/>
          </w:r>
          <w:r>
            <w:fldChar w:fldCharType="begin"/>
          </w:r>
          <w:r>
            <w:instrText xml:space="preserve"> PAGEREF _Toc28282 \h </w:instrText>
          </w:r>
          <w:r>
            <w:fldChar w:fldCharType="separate"/>
          </w:r>
          <w:r>
            <w:t>72</w:t>
          </w:r>
          <w:r>
            <w:fldChar w:fldCharType="end"/>
          </w:r>
          <w:r>
            <w:fldChar w:fldCharType="end"/>
          </w:r>
        </w:p>
        <w:p w14:paraId="70F75C6E">
          <w:pPr>
            <w:tabs>
              <w:tab w:val="right" w:leader="dot" w:pos="8789"/>
            </w:tabs>
            <w:ind w:firstLine="640"/>
          </w:pPr>
          <w:r>
            <w:rPr>
              <w:lang w:val="zh-CN"/>
            </w:rPr>
            <w:fldChar w:fldCharType="end"/>
          </w:r>
        </w:p>
      </w:sdtContent>
    </w:sdt>
    <w:bookmarkEnd w:id="51"/>
    <w:p w14:paraId="5CA1D129">
      <w:pPr>
        <w:widowControl/>
        <w:spacing w:line="240" w:lineRule="auto"/>
        <w:ind w:firstLine="0" w:firstLineChars="0"/>
        <w:jc w:val="left"/>
        <w:sectPr>
          <w:headerReference r:id="rId11" w:type="default"/>
          <w:footerReference r:id="rId13" w:type="default"/>
          <w:headerReference r:id="rId12" w:type="even"/>
          <w:footerReference r:id="rId14" w:type="even"/>
          <w:pgSz w:w="11906" w:h="16838"/>
          <w:pgMar w:top="1871" w:right="1531" w:bottom="1871" w:left="1531" w:header="851" w:footer="992" w:gutter="0"/>
          <w:pgNumType w:fmt="lowerRoman" w:start="1"/>
          <w:cols w:space="425" w:num="1"/>
          <w:docGrid w:type="lines" w:linePitch="435" w:charSpace="0"/>
        </w:sectPr>
      </w:pPr>
    </w:p>
    <w:p w14:paraId="46E1ECA2">
      <w:pPr>
        <w:pStyle w:val="2"/>
        <w:numPr>
          <w:ilvl w:val="0"/>
          <w:numId w:val="0"/>
        </w:numPr>
        <w:spacing w:before="1522" w:after="652"/>
        <w:rPr>
          <w:rFonts w:hint="eastAsia"/>
        </w:rPr>
      </w:pPr>
      <w:bookmarkStart w:id="101" w:name="_Toc136029584"/>
      <w:bookmarkStart w:id="102" w:name="_Toc127281052"/>
      <w:bookmarkStart w:id="103" w:name="_Toc127452494"/>
      <w:bookmarkStart w:id="104" w:name="_Toc127352214"/>
      <w:bookmarkStart w:id="105" w:name="_Toc135492517"/>
      <w:bookmarkStart w:id="106" w:name="_Toc135784012"/>
      <w:bookmarkStart w:id="107" w:name="_Toc127540484"/>
      <w:bookmarkStart w:id="108" w:name="_Toc135785571"/>
      <w:bookmarkStart w:id="109" w:name="_Toc156463097"/>
      <w:bookmarkStart w:id="110" w:name="_Toc135491044"/>
      <w:bookmarkStart w:id="111" w:name="_Toc136620824"/>
      <w:bookmarkStart w:id="112" w:name="_Toc135692497"/>
      <w:bookmarkStart w:id="113" w:name="_Toc136997819"/>
      <w:bookmarkStart w:id="114" w:name="_Toc135781068"/>
      <w:bookmarkStart w:id="115" w:name="_Toc135785206"/>
      <w:bookmarkStart w:id="116" w:name="_Toc135785390"/>
      <w:bookmarkStart w:id="117" w:name="_Toc127368348"/>
      <w:bookmarkStart w:id="118" w:name="_Toc137073750"/>
      <w:bookmarkStart w:id="119" w:name="_Toc127368428"/>
      <w:bookmarkStart w:id="120" w:name="_Toc655"/>
      <w:bookmarkStart w:id="121" w:name="_Toc127278706"/>
      <w:bookmarkStart w:id="122" w:name="_Toc127280341"/>
      <w:bookmarkStart w:id="123" w:name="_Toc157528324"/>
      <w:bookmarkStart w:id="124" w:name="_Toc127280973"/>
      <w:bookmarkStart w:id="125" w:name="_Toc127275755"/>
      <w:r>
        <w:rPr>
          <w:rFonts w:hint="eastAsia"/>
        </w:rPr>
        <w:t xml:space="preserve">前 </w:t>
      </w:r>
      <w:r>
        <w:t xml:space="preserve"> </w:t>
      </w:r>
      <w:r>
        <w:rPr>
          <w:rFonts w:hint="eastAsia"/>
        </w:rPr>
        <w:t xml:space="preserve"> </w:t>
      </w:r>
      <w:r>
        <w:t xml:space="preserve"> </w:t>
      </w:r>
      <w:r>
        <w:rPr>
          <w:rFonts w:hint="eastAsia"/>
        </w:rPr>
        <w:t>言</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43FDB6A">
      <w:pPr>
        <w:ind w:firstLine="640"/>
      </w:pPr>
      <w:r>
        <w:rPr>
          <w:rFonts w:hint="eastAsia"/>
        </w:rPr>
        <w:t>建立国土空间规划体系并监督实施是党中央、国务院作出的重大决策部署。根据《中共中央 国务院关于建立国土空间规划体系并监督实施的若干意见》《中共河北省委 河北省人民政府关于建立国土空间规划体系并监督实施的实施意见》要求，结合香河县实际，编制《香河县国土空间总体规划（202</w:t>
      </w:r>
      <w:r>
        <w:t>1</w:t>
      </w:r>
      <w:r>
        <w:rPr>
          <w:rFonts w:hint="eastAsia"/>
        </w:rPr>
        <w:t>—2035年）》。</w:t>
      </w:r>
    </w:p>
    <w:p w14:paraId="00D1662D">
      <w:pPr>
        <w:ind w:firstLine="640"/>
      </w:pPr>
      <w:r>
        <w:rPr>
          <w:rFonts w:hint="eastAsia"/>
        </w:rPr>
        <w:t>本规划是香河县首部“多规合一”的空间规划，是香河县空间发展的指南、可持续发展的蓝图，是各类开发保护建设活动的基本依据，是对北京城市副中心与廊坊北三县一体化高质量发展要求在香河县落实落位的重要保障。规划明确国土空间发展目标战略，优化空间总体格局，促进区域协调布局，强化资源环境底线约束，推动国土空间高质量发展，实现香河县国土空间治理能力和治理体系现代化。</w:t>
      </w:r>
    </w:p>
    <w:p w14:paraId="7C4978B4">
      <w:pPr>
        <w:ind w:firstLine="640"/>
        <w:sectPr>
          <w:headerReference r:id="rId15" w:type="default"/>
          <w:footerReference r:id="rId17" w:type="default"/>
          <w:headerReference r:id="rId16" w:type="even"/>
          <w:type w:val="oddPage"/>
          <w:pgSz w:w="11906" w:h="16838"/>
          <w:pgMar w:top="1440" w:right="1800" w:bottom="1440" w:left="1800" w:header="851" w:footer="992" w:gutter="0"/>
          <w:pgNumType w:start="1"/>
          <w:cols w:space="425" w:num="1"/>
          <w:docGrid w:type="lines" w:linePitch="435" w:charSpace="0"/>
        </w:sectPr>
      </w:pPr>
    </w:p>
    <w:p w14:paraId="29A87F9D">
      <w:pPr>
        <w:pStyle w:val="2"/>
        <w:spacing w:before="1522" w:after="652"/>
        <w:rPr>
          <w:rFonts w:hint="eastAsia"/>
        </w:rPr>
      </w:pPr>
      <w:bookmarkStart w:id="126" w:name="_Toc23697"/>
      <w:bookmarkStart w:id="127" w:name="_Toc157528325"/>
      <w:r>
        <w:rPr>
          <w:rFonts w:hint="eastAsia"/>
        </w:rPr>
        <w:t xml:space="preserve">总 </w:t>
      </w:r>
      <w:r>
        <w:t xml:space="preserve">   </w:t>
      </w:r>
      <w:r>
        <w:rPr>
          <w:rFonts w:hint="eastAsia"/>
        </w:rPr>
        <w:t>则</w:t>
      </w:r>
      <w:bookmarkEnd w:id="126"/>
      <w:bookmarkEnd w:id="127"/>
    </w:p>
    <w:p w14:paraId="4034708B">
      <w:pPr>
        <w:pStyle w:val="4"/>
      </w:pPr>
      <w:r>
        <w:rPr>
          <w:rFonts w:hint="eastAsia"/>
        </w:rPr>
        <w:t>规划目的</w:t>
      </w:r>
    </w:p>
    <w:p w14:paraId="36CE5B6A">
      <w:pPr>
        <w:ind w:firstLine="640"/>
      </w:pPr>
      <w:r>
        <w:rPr>
          <w:rFonts w:hint="eastAsia"/>
        </w:rPr>
        <w:t>准确把握中国式现代化本质要求的深刻内涵，统筹全县国土空间保护、开发、利用、修复，落实与深化上位国土空间规划要求，为编制下位国土空间总体规划、详细规划、相关专项规划和开展各类开发保护建设活动、实施国土空间用途管制提供基本依据。</w:t>
      </w:r>
    </w:p>
    <w:p w14:paraId="2595BFF6">
      <w:pPr>
        <w:pStyle w:val="4"/>
      </w:pPr>
      <w:r>
        <w:rPr>
          <w:rFonts w:hint="eastAsia"/>
        </w:rPr>
        <w:t>指导</w:t>
      </w:r>
      <w:r>
        <w:t>思想</w:t>
      </w:r>
    </w:p>
    <w:p w14:paraId="7CF1FAA8">
      <w:pPr>
        <w:ind w:firstLine="640"/>
      </w:pPr>
      <w:r>
        <w:rPr>
          <w:rFonts w:hint="eastAsia"/>
        </w:rPr>
        <w:t>坚持以习近平新时代中国特色社会主义思想为指导，全面贯彻党的二十大精神，深入学习贯彻习近平总书记视察河北重要讲话精神，按照河北</w:t>
      </w:r>
      <w:bookmarkStart w:id="128" w:name="_Hlk137944049"/>
      <w:r>
        <w:rPr>
          <w:rFonts w:hint="eastAsia"/>
        </w:rPr>
        <w:t>省委十届历次全会和廊坊市委七届历次全会要求，</w:t>
      </w:r>
      <w:bookmarkEnd w:id="128"/>
      <w:r>
        <w:rPr>
          <w:rFonts w:hint="eastAsia"/>
        </w:rPr>
        <w:t>立足新发展阶段，贯彻新发展理念，坚持以人民为中心的发展思想，统筹发展与安全，加快构建国土空间开发保护新格局，发挥好国土空间规划的基础性作用，实现国土空间开发保护更高质量、更有效率、更加公平、更可持续、更为安全，为香河国土空间治理提供支撑和保障。</w:t>
      </w:r>
    </w:p>
    <w:p w14:paraId="6A2A0B5F">
      <w:pPr>
        <w:pStyle w:val="4"/>
      </w:pPr>
      <w:r>
        <w:rPr>
          <w:rFonts w:hint="eastAsia"/>
        </w:rPr>
        <w:t>规划原则</w:t>
      </w:r>
    </w:p>
    <w:p w14:paraId="6A031D97">
      <w:pPr>
        <w:ind w:firstLine="640"/>
      </w:pPr>
      <w:r>
        <w:rPr>
          <w:rFonts w:hint="eastAsia"/>
        </w:rPr>
        <w:t>底线约束，节约集约。贯彻落实总体国家安全观，统筹兼顾经济、社会、生态、文化、军事等多元需求，筑牢国土空间安全底线，完善国土安全基础设施。坚持耕地保护优先，守住粮食、生态、水、能源资源、国防等安全底线，增强国土空间安全韧性，统筹划定落实耕地和永久基本农田、生态保护红线、城镇开发边界三条控制线。推进国土空间节约集约和利用，提高国土空间利用质量和效益，促进人与自然和谐共生。</w:t>
      </w:r>
    </w:p>
    <w:p w14:paraId="14932125">
      <w:pPr>
        <w:ind w:firstLine="640"/>
      </w:pPr>
      <w:r>
        <w:rPr>
          <w:rFonts w:hint="eastAsia"/>
        </w:rPr>
        <w:t>协同联动，一体化发展。推进与北京城市副中心协同建设，构建区域协调和城乡统筹发展新格局。推进落实“统一规划、统一政策、统一标准、统一管控”要求，落实北京城市副中心与廊坊北三县一体化高质量发展要求，建设京津冀世界级城市群关键节点。</w:t>
      </w:r>
    </w:p>
    <w:p w14:paraId="6B6B4282">
      <w:pPr>
        <w:ind w:firstLine="640"/>
      </w:pPr>
      <w:r>
        <w:rPr>
          <w:rFonts w:hint="eastAsia"/>
        </w:rPr>
        <w:t>以人为本，高质量发展。坚持以人民为中心，提高公共服务水平、设施保障能力和宜居环境品质，切实增强人民群众获得感、幸福感、安全感，不断满足人民群众日益增长的美好生活需要。塑造宜人的城乡空间，彰显文化特色，打造高质量生态环境。</w:t>
      </w:r>
    </w:p>
    <w:p w14:paraId="0CE36CAA">
      <w:pPr>
        <w:ind w:firstLine="640"/>
      </w:pPr>
      <w:r>
        <w:rPr>
          <w:rFonts w:hint="eastAsia"/>
        </w:rPr>
        <w:t>多方联动，高水平编制。坚持自上而下、上下联动，探索国土空间规划横向和纵向传导的管控机制。坚持“多规合一”，开门编规划，建立多方协商共谋共建共治的公众参与模式。因地制宜，增强国土空间规划的科学性和实用性，确保规划能用、管用、好用。</w:t>
      </w:r>
    </w:p>
    <w:p w14:paraId="0BCC7DEB">
      <w:pPr>
        <w:pStyle w:val="4"/>
      </w:pPr>
      <w:r>
        <w:rPr>
          <w:rFonts w:hint="eastAsia"/>
        </w:rPr>
        <w:t>主要规划</w:t>
      </w:r>
      <w:r>
        <w:t>依据</w:t>
      </w:r>
    </w:p>
    <w:p w14:paraId="3F0750C6">
      <w:pPr>
        <w:pStyle w:val="5"/>
      </w:pPr>
      <w:bookmarkStart w:id="129" w:name="_Hlk133414811"/>
      <w:r>
        <w:rPr>
          <w:rFonts w:hint="eastAsia"/>
        </w:rPr>
        <w:t>《中华人民共和国土地管理法》</w:t>
      </w:r>
    </w:p>
    <w:p w14:paraId="16B2A2CF">
      <w:pPr>
        <w:pStyle w:val="5"/>
      </w:pPr>
      <w:r>
        <w:rPr>
          <w:rFonts w:hint="eastAsia"/>
        </w:rPr>
        <w:t>《中华人民共和国城乡规划法》</w:t>
      </w:r>
    </w:p>
    <w:p w14:paraId="5E1CA1BC">
      <w:pPr>
        <w:pStyle w:val="5"/>
      </w:pPr>
      <w:r>
        <w:rPr>
          <w:rFonts w:hint="eastAsia"/>
        </w:rPr>
        <w:t>《中华人民共和国环境保护法》</w:t>
      </w:r>
    </w:p>
    <w:p w14:paraId="4E45D1F9">
      <w:pPr>
        <w:pStyle w:val="5"/>
      </w:pPr>
      <w:r>
        <w:rPr>
          <w:rFonts w:hint="eastAsia"/>
        </w:rPr>
        <w:t>《中华人民共和国文物保护法》</w:t>
      </w:r>
    </w:p>
    <w:p w14:paraId="0B758E87">
      <w:pPr>
        <w:pStyle w:val="5"/>
      </w:pPr>
      <w:r>
        <w:rPr>
          <w:rFonts w:hint="eastAsia"/>
        </w:rPr>
        <w:t>《中华人民共和国森林法》</w:t>
      </w:r>
    </w:p>
    <w:p w14:paraId="289D4D76">
      <w:pPr>
        <w:pStyle w:val="5"/>
      </w:pPr>
      <w:r>
        <w:rPr>
          <w:rFonts w:hint="eastAsia"/>
        </w:rPr>
        <w:t>《中华人民共和国矿产资源法》</w:t>
      </w:r>
    </w:p>
    <w:p w14:paraId="37E993BB">
      <w:pPr>
        <w:pStyle w:val="5"/>
      </w:pPr>
      <w:r>
        <w:rPr>
          <w:rFonts w:hint="eastAsia"/>
        </w:rPr>
        <w:t>《中华人民共和国湿地保护法》</w:t>
      </w:r>
    </w:p>
    <w:p w14:paraId="0D14C21C">
      <w:pPr>
        <w:pStyle w:val="5"/>
      </w:pPr>
      <w:r>
        <w:rPr>
          <w:rFonts w:hint="eastAsia"/>
        </w:rPr>
        <w:t>《中华人民共和国土地管理法实施条例》</w:t>
      </w:r>
    </w:p>
    <w:p w14:paraId="64AF267C">
      <w:pPr>
        <w:pStyle w:val="5"/>
      </w:pPr>
      <w:r>
        <w:rPr>
          <w:rFonts w:hint="eastAsia"/>
        </w:rPr>
        <w:t>《基本农田保护条例》</w:t>
      </w:r>
    </w:p>
    <w:p w14:paraId="4FE71C6C">
      <w:pPr>
        <w:pStyle w:val="5"/>
      </w:pPr>
      <w:r>
        <w:rPr>
          <w:rFonts w:hint="eastAsia"/>
        </w:rPr>
        <w:t>《历史文化名城名镇名村保护条例》</w:t>
      </w:r>
    </w:p>
    <w:p w14:paraId="48580E1D">
      <w:pPr>
        <w:pStyle w:val="5"/>
      </w:pPr>
      <w:r>
        <w:rPr>
          <w:rFonts w:hint="eastAsia"/>
        </w:rPr>
        <w:t>《河北省土地管理条例》</w:t>
      </w:r>
    </w:p>
    <w:p w14:paraId="6631A8CF">
      <w:pPr>
        <w:pStyle w:val="5"/>
      </w:pPr>
      <w:r>
        <w:rPr>
          <w:rFonts w:hint="eastAsia"/>
        </w:rPr>
        <w:t>《中共中央 国务院关于统一规划体系更好发挥国家发展规划战略导向作用的意见》</w:t>
      </w:r>
    </w:p>
    <w:p w14:paraId="46F5CA30">
      <w:pPr>
        <w:pStyle w:val="5"/>
      </w:pPr>
      <w:r>
        <w:rPr>
          <w:rFonts w:hint="eastAsia"/>
        </w:rPr>
        <w:t>《中共中央 国务院关于建立国土空间规划体系并监督实施的若干意见》</w:t>
      </w:r>
    </w:p>
    <w:p w14:paraId="5E5A5E4A">
      <w:pPr>
        <w:pStyle w:val="5"/>
      </w:pPr>
      <w:r>
        <w:rPr>
          <w:rFonts w:hint="eastAsia"/>
        </w:rPr>
        <w:t>《关于在国土空间规划中统筹划定落实三条控制线的指导意见》</w:t>
      </w:r>
    </w:p>
    <w:p w14:paraId="0DC6C266">
      <w:pPr>
        <w:pStyle w:val="5"/>
      </w:pPr>
      <w:r>
        <w:rPr>
          <w:rFonts w:hint="eastAsia"/>
        </w:rPr>
        <w:t>《全国国土空间规划纲要（2021-2035年）》</w:t>
      </w:r>
    </w:p>
    <w:p w14:paraId="4BE02854">
      <w:pPr>
        <w:pStyle w:val="5"/>
      </w:pPr>
      <w:r>
        <w:rPr>
          <w:rFonts w:hint="eastAsia"/>
        </w:rPr>
        <w:t>《京津冀协同发展规划纲要》</w:t>
      </w:r>
    </w:p>
    <w:p w14:paraId="71780A7C">
      <w:pPr>
        <w:pStyle w:val="5"/>
      </w:pPr>
      <w:r>
        <w:rPr>
          <w:rFonts w:hint="eastAsia"/>
        </w:rPr>
        <w:t>《北京市通州区与河北省三河、大厂、香河三县市协同发展规划》</w:t>
      </w:r>
    </w:p>
    <w:p w14:paraId="2911520A">
      <w:pPr>
        <w:pStyle w:val="5"/>
      </w:pPr>
      <w:r>
        <w:rPr>
          <w:rFonts w:hint="eastAsia"/>
        </w:rPr>
        <w:t>《国家综合立体交通网规划纲要》</w:t>
      </w:r>
    </w:p>
    <w:p w14:paraId="1D788BA9">
      <w:pPr>
        <w:pStyle w:val="5"/>
      </w:pPr>
      <w:r>
        <w:rPr>
          <w:rFonts w:hint="eastAsia"/>
        </w:rPr>
        <w:t>《中共河北省委 河北省人民政府关于建立国土空间规划体系并监督实施的实施意见》</w:t>
      </w:r>
    </w:p>
    <w:p w14:paraId="6B6C7CF1">
      <w:pPr>
        <w:pStyle w:val="5"/>
      </w:pPr>
      <w:r>
        <w:rPr>
          <w:rFonts w:hint="eastAsia"/>
        </w:rPr>
        <w:t>《中共河北省委办公厅 河北省人民政府办公厅关于在国土空间规划中统筹划定落实三条控制线的若干措施》</w:t>
      </w:r>
    </w:p>
    <w:p w14:paraId="37C3E91C">
      <w:pPr>
        <w:pStyle w:val="5"/>
      </w:pPr>
      <w:r>
        <w:rPr>
          <w:rFonts w:hint="eastAsia"/>
        </w:rPr>
        <w:t>《河北省国民经济和社会发展第十四个五年规划和二</w:t>
      </w:r>
      <w:r>
        <w:rPr>
          <w:rFonts w:hint="eastAsia" w:ascii="微软雅黑" w:hAnsi="微软雅黑" w:eastAsia="微软雅黑" w:cs="微软雅黑"/>
        </w:rPr>
        <w:t>〇</w:t>
      </w:r>
      <w:r>
        <w:rPr>
          <w:rFonts w:hint="eastAsia"/>
        </w:rPr>
        <w:t>三五年远景目标纲要》</w:t>
      </w:r>
    </w:p>
    <w:p w14:paraId="25372D6F">
      <w:pPr>
        <w:pStyle w:val="5"/>
      </w:pPr>
      <w:r>
        <w:rPr>
          <w:rFonts w:hint="eastAsia"/>
        </w:rPr>
        <w:t>《河北省国土空间规划（2</w:t>
      </w:r>
      <w:r>
        <w:t>021</w:t>
      </w:r>
      <w:r>
        <w:rPr>
          <w:rFonts w:hint="eastAsia"/>
        </w:rPr>
        <w:t>—2</w:t>
      </w:r>
      <w:r>
        <w:t>035</w:t>
      </w:r>
      <w:r>
        <w:rPr>
          <w:rFonts w:hint="eastAsia"/>
        </w:rPr>
        <w:t>年）》</w:t>
      </w:r>
    </w:p>
    <w:p w14:paraId="5D11ED80">
      <w:pPr>
        <w:pStyle w:val="5"/>
      </w:pPr>
      <w:r>
        <w:rPr>
          <w:rFonts w:hint="eastAsia"/>
        </w:rPr>
        <w:t>《河北省综合立体交通网规划纲要》</w:t>
      </w:r>
    </w:p>
    <w:p w14:paraId="67BF6019">
      <w:pPr>
        <w:pStyle w:val="5"/>
      </w:pPr>
      <w:r>
        <w:rPr>
          <w:rFonts w:hint="eastAsia"/>
        </w:rPr>
        <w:t>《市级国土空间总体规划编制指南（试行）》</w:t>
      </w:r>
    </w:p>
    <w:p w14:paraId="50D6D4DD">
      <w:pPr>
        <w:pStyle w:val="5"/>
      </w:pPr>
      <w:r>
        <w:rPr>
          <w:rFonts w:hint="eastAsia"/>
        </w:rPr>
        <w:t>《廊坊市国民经济和社会发展第十四个五年规划纲要和二</w:t>
      </w:r>
      <w:r>
        <w:rPr>
          <w:rFonts w:hint="eastAsia" w:ascii="微软雅黑" w:hAnsi="微软雅黑" w:eastAsia="微软雅黑" w:cs="微软雅黑"/>
        </w:rPr>
        <w:t>〇</w:t>
      </w:r>
      <w:r>
        <w:rPr>
          <w:rFonts w:hint="eastAsia"/>
        </w:rPr>
        <w:t>三五年远景目标纲要》</w:t>
      </w:r>
    </w:p>
    <w:p w14:paraId="5CB0FE72">
      <w:pPr>
        <w:pStyle w:val="5"/>
      </w:pPr>
      <w:r>
        <w:rPr>
          <w:rFonts w:hint="eastAsia"/>
        </w:rPr>
        <w:t>《廊坊市国土空间总体规划</w:t>
      </w:r>
      <w:bookmarkStart w:id="130" w:name="_Hlk136002117"/>
      <w:r>
        <w:rPr>
          <w:rFonts w:hint="eastAsia"/>
        </w:rPr>
        <w:t>（2</w:t>
      </w:r>
      <w:r>
        <w:t>021</w:t>
      </w:r>
      <w:r>
        <w:rPr>
          <w:rFonts w:hint="eastAsia"/>
        </w:rPr>
        <w:t>—2</w:t>
      </w:r>
      <w:r>
        <w:t>035</w:t>
      </w:r>
      <w:r>
        <w:rPr>
          <w:rFonts w:hint="eastAsia"/>
        </w:rPr>
        <w:t>年）</w:t>
      </w:r>
      <w:bookmarkEnd w:id="130"/>
      <w:r>
        <w:rPr>
          <w:rFonts w:hint="eastAsia"/>
        </w:rPr>
        <w:t>》</w:t>
      </w:r>
    </w:p>
    <w:p w14:paraId="0D1E454B">
      <w:pPr>
        <w:pStyle w:val="5"/>
      </w:pPr>
      <w:r>
        <w:rPr>
          <w:rFonts w:hint="eastAsia"/>
        </w:rPr>
        <w:t>《香河县国民经济和社会发展第十四个五年规划和二</w:t>
      </w:r>
      <w:r>
        <w:rPr>
          <w:rFonts w:hint="eastAsia" w:ascii="微软雅黑" w:hAnsi="微软雅黑" w:eastAsia="微软雅黑" w:cs="微软雅黑"/>
        </w:rPr>
        <w:t>〇</w:t>
      </w:r>
      <w:r>
        <w:rPr>
          <w:rFonts w:hint="eastAsia" w:ascii="仿宋_GB2312" w:hAnsi="仿宋_GB2312" w:cs="仿宋_GB2312"/>
        </w:rPr>
        <w:t>三五年</w:t>
      </w:r>
      <w:r>
        <w:rPr>
          <w:rFonts w:hint="eastAsia"/>
        </w:rPr>
        <w:t>远景目标纲要》</w:t>
      </w:r>
    </w:p>
    <w:p w14:paraId="1F38DE83">
      <w:pPr>
        <w:pStyle w:val="5"/>
      </w:pPr>
      <w:r>
        <w:rPr>
          <w:rFonts w:hint="eastAsia"/>
        </w:rPr>
        <w:t>其他相关法律、法规和标准规范。</w:t>
      </w:r>
    </w:p>
    <w:bookmarkEnd w:id="129"/>
    <w:p w14:paraId="63BD1943">
      <w:pPr>
        <w:pStyle w:val="4"/>
      </w:pPr>
      <w:r>
        <w:rPr>
          <w:rFonts w:hint="eastAsia"/>
        </w:rPr>
        <w:t>规划期限</w:t>
      </w:r>
    </w:p>
    <w:p w14:paraId="687EF8BA">
      <w:pPr>
        <w:ind w:firstLine="640"/>
      </w:pPr>
      <w:r>
        <w:rPr>
          <w:rFonts w:hint="eastAsia"/>
        </w:rPr>
        <w:t>规划期限为2</w:t>
      </w:r>
      <w:r>
        <w:t>021</w:t>
      </w:r>
      <w:r>
        <w:rPr>
          <w:rFonts w:hint="eastAsia"/>
        </w:rPr>
        <w:t>—2</w:t>
      </w:r>
      <w:r>
        <w:t>035</w:t>
      </w:r>
      <w:r>
        <w:rPr>
          <w:rFonts w:hint="eastAsia"/>
        </w:rPr>
        <w:t>年。近期至2025年，远景展望至2050年。</w:t>
      </w:r>
    </w:p>
    <w:p w14:paraId="6A18EC28">
      <w:pPr>
        <w:pStyle w:val="4"/>
      </w:pPr>
      <w:r>
        <w:rPr>
          <w:rFonts w:hint="eastAsia"/>
        </w:rPr>
        <w:t>规划范围与层次</w:t>
      </w:r>
    </w:p>
    <w:p w14:paraId="5928ACA5">
      <w:pPr>
        <w:ind w:firstLine="640"/>
      </w:pPr>
      <w:r>
        <w:rPr>
          <w:rFonts w:hint="eastAsia"/>
        </w:rPr>
        <w:t>规划包含县域和中心城区两个层次。</w:t>
      </w:r>
    </w:p>
    <w:p w14:paraId="32C4DB27">
      <w:pPr>
        <w:pStyle w:val="4"/>
      </w:pPr>
      <w:r>
        <w:rPr>
          <w:rFonts w:hint="eastAsia"/>
        </w:rPr>
        <w:t>规划强制性内容</w:t>
      </w:r>
    </w:p>
    <w:p w14:paraId="45183CD0">
      <w:pPr>
        <w:ind w:firstLine="640"/>
      </w:pPr>
      <w:r>
        <w:rPr>
          <w:rFonts w:hint="eastAsia"/>
        </w:rPr>
        <w:t>文本中加下划线部分为强制性内容，必须严格执行。</w:t>
      </w:r>
    </w:p>
    <w:p w14:paraId="4DE1C2A4">
      <w:pPr>
        <w:ind w:firstLine="640"/>
      </w:pPr>
    </w:p>
    <w:p w14:paraId="68F4E791">
      <w:pPr>
        <w:ind w:firstLine="640"/>
        <w:sectPr>
          <w:pgSz w:w="11906" w:h="16838"/>
          <w:pgMar w:top="1440" w:right="1800" w:bottom="1440" w:left="1800" w:header="851" w:footer="992" w:gutter="0"/>
          <w:cols w:space="425" w:num="1"/>
          <w:docGrid w:type="lines" w:linePitch="435" w:charSpace="0"/>
        </w:sectPr>
      </w:pPr>
    </w:p>
    <w:p w14:paraId="1664854A">
      <w:pPr>
        <w:pStyle w:val="2"/>
        <w:spacing w:before="1522" w:after="652"/>
        <w:rPr>
          <w:rFonts w:hint="eastAsia"/>
        </w:rPr>
      </w:pPr>
      <w:bookmarkStart w:id="131" w:name="_Toc157528326"/>
      <w:bookmarkStart w:id="132" w:name="_Toc12887"/>
      <w:r>
        <w:rPr>
          <w:rFonts w:hint="eastAsia"/>
        </w:rPr>
        <w:t>规划基础</w:t>
      </w:r>
      <w:bookmarkEnd w:id="131"/>
      <w:bookmarkEnd w:id="132"/>
    </w:p>
    <w:p w14:paraId="295A12AB">
      <w:pPr>
        <w:ind w:firstLine="640"/>
      </w:pPr>
      <w:r>
        <w:rPr>
          <w:rFonts w:hint="eastAsia" w:ascii="仿宋_GB2312"/>
        </w:rPr>
        <w:t>以资源环境承载力和开发保护适宜性评价为基础，客观认识国土开发保护中存在的问题，科学把握与北京城市副中心一体化高质量发展、大运河旅游通航等战略机遇，积极应对风险挑战，提升规划的科学性和针对性</w:t>
      </w:r>
      <w:r>
        <w:rPr>
          <w:rFonts w:hint="eastAsia"/>
        </w:rPr>
        <w:t>。</w:t>
      </w:r>
    </w:p>
    <w:p w14:paraId="7F8AF918">
      <w:pPr>
        <w:pStyle w:val="3"/>
        <w:spacing w:before="435" w:after="435"/>
      </w:pPr>
      <w:bookmarkStart w:id="133" w:name="_Toc157528327"/>
      <w:bookmarkStart w:id="134" w:name="_Toc6355"/>
      <w:r>
        <w:rPr>
          <w:rFonts w:hint="eastAsia"/>
        </w:rPr>
        <w:t>现状与问题</w:t>
      </w:r>
      <w:bookmarkEnd w:id="133"/>
      <w:bookmarkEnd w:id="134"/>
    </w:p>
    <w:p w14:paraId="3E24150E">
      <w:pPr>
        <w:pStyle w:val="4"/>
      </w:pPr>
      <w:r>
        <w:rPr>
          <w:rFonts w:hint="eastAsia"/>
        </w:rPr>
        <w:t>现状特征</w:t>
      </w:r>
    </w:p>
    <w:p w14:paraId="688F4CF3">
      <w:pPr>
        <w:ind w:firstLine="640"/>
      </w:pPr>
      <w:r>
        <w:rPr>
          <w:rFonts w:hint="eastAsia"/>
        </w:rPr>
        <w:t>区位优势良好。香河县地处京津地区中部，京津冀城市群核心地带，与京津两市接壤，环渤海腹地。拥有京哈高速公路、首都环线高速等高速公路。随着京津冀协同发展深入实施、北京城市副中心建设、北京大兴国际机场及临空经济区的规划建设，处于国家重大战略支撑带动之下，区位优势得天独厚。</w:t>
      </w:r>
    </w:p>
    <w:p w14:paraId="6656F1EB">
      <w:pPr>
        <w:ind w:firstLine="640"/>
      </w:pPr>
      <w:r>
        <w:rPr>
          <w:rFonts w:hint="eastAsia"/>
        </w:rPr>
        <w:t>生态资源丰富。县域境内河流沟渠密布，生态本底条件良好。境内北运河、潮白河两河交汇，北运河香河段长度2</w:t>
      </w:r>
      <w:r>
        <w:t>1.7</w:t>
      </w:r>
      <w:r>
        <w:rPr>
          <w:rFonts w:hint="eastAsia"/>
        </w:rPr>
        <w:t>千米，正在建设河北香河潮白河大运河国家湿地公园，河流两岸自然景色优美，植被茂盛，生物多样性良好。</w:t>
      </w:r>
    </w:p>
    <w:p w14:paraId="7A4C4C3D">
      <w:pPr>
        <w:ind w:firstLine="640"/>
      </w:pPr>
      <w:r>
        <w:rPr>
          <w:rFonts w:hint="eastAsia"/>
        </w:rPr>
        <w:t>产业特色鲜明。</w:t>
      </w:r>
      <w:r>
        <w:t>2020</w:t>
      </w:r>
      <w:r>
        <w:rPr>
          <w:rFonts w:hint="eastAsia"/>
        </w:rPr>
        <w:t>年，香河地区生产总值完成</w:t>
      </w:r>
      <w:r>
        <w:t>234.2</w:t>
      </w:r>
      <w:r>
        <w:rPr>
          <w:rFonts w:hint="eastAsia"/>
        </w:rPr>
        <w:t>亿元，人均地区生产总值达到5.</w:t>
      </w:r>
      <w:r>
        <w:t>26</w:t>
      </w:r>
      <w:r>
        <w:rPr>
          <w:rFonts w:hint="eastAsia"/>
        </w:rPr>
        <w:t>万元人民币，高于河北省平均水平。家具产业发展最为突出，</w:t>
      </w:r>
      <w:r>
        <w:t>2020</w:t>
      </w:r>
      <w:r>
        <w:rPr>
          <w:rFonts w:hint="eastAsia"/>
        </w:rPr>
        <w:t>年，香河家具产业集群实现营业收入114.43亿元，上缴税金1.13亿元，拉动就业3万余人；机器人产业发展迅速，香河县机器人产业实现税收7600万元，带动地方相关就业岗位5000余个，并成功签约多个行业龙头企业。</w:t>
      </w:r>
    </w:p>
    <w:p w14:paraId="6621A24A">
      <w:pPr>
        <w:ind w:firstLine="640"/>
      </w:pPr>
      <w:r>
        <w:rPr>
          <w:rFonts w:hint="eastAsia"/>
        </w:rPr>
        <w:t>文化特色明显。县域文化遗产资源丰富，以中国大运河世界文化遗产、红庙村金门闸遗址为代表的文化遗存遍布县域，衍生的安头屯中幡等非物质文化遗产独具特色。以第一城、家具城为代表的文旅资源丰富，形成展示香河文化的特色名片。</w:t>
      </w:r>
    </w:p>
    <w:p w14:paraId="38BA19E1">
      <w:pPr>
        <w:pStyle w:val="4"/>
        <w:spacing w:before="435" w:after="435"/>
      </w:pPr>
      <w:bookmarkStart w:id="135" w:name="_Toc157528328"/>
      <w:r>
        <w:rPr>
          <w:rFonts w:hint="eastAsia"/>
        </w:rPr>
        <w:t>主要问题</w:t>
      </w:r>
      <w:bookmarkEnd w:id="135"/>
    </w:p>
    <w:p w14:paraId="7A9C2822">
      <w:pPr>
        <w:ind w:firstLine="640"/>
      </w:pPr>
      <w:r>
        <w:rPr>
          <w:rFonts w:hint="eastAsia"/>
        </w:rPr>
        <w:t>生态环境需要持续改善。香河自然资源相对丰富，但生态格局保护不充分，生态廊道连续性不够，县域内未形成完善的国土生态安全格局。现状沟渠水网水质有待提升，局部地区存在浅层地下水超采、地下水水质有待改善等问题。</w:t>
      </w:r>
    </w:p>
    <w:p w14:paraId="270C18F5">
      <w:pPr>
        <w:ind w:firstLine="640"/>
      </w:pPr>
      <w:r>
        <w:rPr>
          <w:rFonts w:hint="eastAsia"/>
        </w:rPr>
        <w:t>产业空间布局有待优化。城区、园区以外以家具产业为代表的低端制造业大量零散分布于村庄周边，以淑阳工业园为代表的乡镇工业园区内工业用地零散，工业用地效率相对较低。随着香河县产业升级步伐加快，部分产业用地不适应新发展需要，需要搬迁腾退。</w:t>
      </w:r>
    </w:p>
    <w:p w14:paraId="716366F7">
      <w:pPr>
        <w:ind w:firstLine="640"/>
      </w:pPr>
      <w:r>
        <w:rPr>
          <w:rFonts w:hint="eastAsia"/>
        </w:rPr>
        <w:t>城乡空间环境品质有待提升。公共服务设施标准与高质量发展目标存在差距。供热等市政基础设施配置不足，难以有效支撑香河的快速发展。城乡宜居环境品质与风貌特色有待进一步提升。</w:t>
      </w:r>
    </w:p>
    <w:p w14:paraId="0D71F371">
      <w:pPr>
        <w:pStyle w:val="3"/>
        <w:spacing w:before="435" w:after="435"/>
      </w:pPr>
      <w:bookmarkStart w:id="136" w:name="_Toc157528329"/>
      <w:bookmarkStart w:id="137" w:name="_Toc13412"/>
      <w:r>
        <w:rPr>
          <w:rFonts w:hint="eastAsia"/>
        </w:rPr>
        <w:t>机遇与挑战</w:t>
      </w:r>
      <w:bookmarkEnd w:id="136"/>
      <w:bookmarkEnd w:id="137"/>
    </w:p>
    <w:p w14:paraId="6794E421">
      <w:pPr>
        <w:pStyle w:val="4"/>
      </w:pPr>
      <w:r>
        <w:rPr>
          <w:rFonts w:hint="eastAsia"/>
        </w:rPr>
        <w:t>京津冀协同发展向纵深拓展带来新机遇</w:t>
      </w:r>
    </w:p>
    <w:p w14:paraId="637E5081">
      <w:pPr>
        <w:ind w:firstLine="640"/>
      </w:pPr>
      <w:r>
        <w:rPr>
          <w:rFonts w:hint="eastAsia"/>
        </w:rPr>
        <w:t>京津冀协同发展进入新阶段，中央对廊坊北三县与北京城市副中心进入一体化高质量发展提出新要求。在新的区域发展环境下，香河县应抢抓区域资源要素加快流动的机遇，积极承接北京非首都功能疏解，落实上位要求，加快对接北京城市副中心，引入区域高质量产业、公共服务资源。</w:t>
      </w:r>
    </w:p>
    <w:p w14:paraId="7513CABD">
      <w:pPr>
        <w:pStyle w:val="4"/>
      </w:pPr>
      <w:r>
        <w:rPr>
          <w:rFonts w:hint="eastAsia"/>
        </w:rPr>
        <w:t>经济强省、美丽河北建设明确新部署</w:t>
      </w:r>
    </w:p>
    <w:p w14:paraId="1355B4A4">
      <w:pPr>
        <w:ind w:firstLine="640"/>
      </w:pPr>
      <w:r>
        <w:rPr>
          <w:rFonts w:hint="eastAsia"/>
        </w:rPr>
        <w:t>准确把握所处历史方位，围绕省级加快推进区域协调发展、创新驱动、发展方式绿色转型、乡村振兴战略、保障和改善民生等方面的政策机遇，系统落实重大基础设施、重大生产力布局，优化公共资源布局。</w:t>
      </w:r>
    </w:p>
    <w:p w14:paraId="59FFB458">
      <w:pPr>
        <w:pStyle w:val="4"/>
      </w:pPr>
      <w:r>
        <w:rPr>
          <w:rFonts w:hint="eastAsia"/>
        </w:rPr>
        <w:t>大运河国家文化公园建设带来新机遇</w:t>
      </w:r>
    </w:p>
    <w:p w14:paraId="41B679B9">
      <w:pPr>
        <w:ind w:firstLine="640"/>
      </w:pPr>
      <w:r>
        <w:rPr>
          <w:rFonts w:hint="eastAsia"/>
        </w:rPr>
        <w:t>北运河香河段上连北京通州，下接天津武清，北京城市副中心至香河段已经全线实现旅游通航。作为京津冀协同发展重点项目，北运河旅游通航成为香河县在文化领域链接京津，打造全域旅游的重要依托，为香河县发展带来重要机遇。</w:t>
      </w:r>
    </w:p>
    <w:p w14:paraId="134F5C05">
      <w:pPr>
        <w:pStyle w:val="4"/>
      </w:pPr>
      <w:r>
        <w:rPr>
          <w:rFonts w:hint="eastAsia"/>
        </w:rPr>
        <w:t>高质量发展提出新要求</w:t>
      </w:r>
    </w:p>
    <w:p w14:paraId="424A4A05">
      <w:pPr>
        <w:ind w:firstLine="640"/>
      </w:pPr>
      <w:r>
        <w:rPr>
          <w:rFonts w:hint="eastAsia"/>
        </w:rPr>
        <w:t>随着京津冀协同发展逐步推进，廊坊北三县与北京城市副中心一体化高质量发展要求实现“统一规划、统一政策、统一标准、统一管控”。但北京城市副中心建设标准高，香河县自身在公共服务、市政基础设施等领域仍存在短板，如何补齐设施短板、达到副中心标准是对香河县规划建设的挑战。</w:t>
      </w:r>
    </w:p>
    <w:p w14:paraId="37067729">
      <w:pPr>
        <w:ind w:firstLine="640"/>
        <w:sectPr>
          <w:pgSz w:w="11906" w:h="16838"/>
          <w:pgMar w:top="1440" w:right="1800" w:bottom="1440" w:left="1800" w:header="851" w:footer="992" w:gutter="0"/>
          <w:cols w:space="425" w:num="1"/>
          <w:docGrid w:type="lines" w:linePitch="435" w:charSpace="0"/>
        </w:sectPr>
      </w:pPr>
    </w:p>
    <w:p w14:paraId="0E163577">
      <w:pPr>
        <w:pStyle w:val="2"/>
        <w:spacing w:before="1522" w:after="652"/>
        <w:rPr>
          <w:rFonts w:hint="eastAsia"/>
        </w:rPr>
      </w:pPr>
      <w:bookmarkStart w:id="138" w:name="_Toc8533"/>
      <w:bookmarkStart w:id="139" w:name="_Toc157528330"/>
      <w:r>
        <w:t>目标</w:t>
      </w:r>
      <w:r>
        <w:rPr>
          <w:rFonts w:hint="eastAsia"/>
        </w:rPr>
        <w:t>战略</w:t>
      </w:r>
      <w:bookmarkEnd w:id="138"/>
      <w:bookmarkEnd w:id="139"/>
    </w:p>
    <w:p w14:paraId="050DDA58">
      <w:pPr>
        <w:ind w:firstLine="640"/>
      </w:pPr>
      <w:r>
        <w:rPr>
          <w:rFonts w:hint="eastAsia"/>
        </w:rPr>
        <w:t>聚焦廊坊北三县与北京通州区一体化高质量发展阶段重点要求，发挥文化资源、生态资源和特色产业等本底资源优势，针对国土空间开发保护的问题与挑战，明确城市性质、规划目标和国土空间开发保护策略。</w:t>
      </w:r>
    </w:p>
    <w:p w14:paraId="7F7E19B6">
      <w:pPr>
        <w:pStyle w:val="3"/>
        <w:spacing w:before="435" w:after="435"/>
      </w:pPr>
      <w:bookmarkStart w:id="140" w:name="_Toc157528331"/>
      <w:bookmarkStart w:id="141" w:name="_Toc21891"/>
      <w:r>
        <w:rPr>
          <w:rFonts w:hint="eastAsia"/>
        </w:rPr>
        <w:t>城市性质与规划目标</w:t>
      </w:r>
      <w:bookmarkEnd w:id="140"/>
      <w:bookmarkEnd w:id="141"/>
    </w:p>
    <w:p w14:paraId="23AD60B7">
      <w:pPr>
        <w:pStyle w:val="4"/>
      </w:pPr>
      <w:r>
        <w:rPr>
          <w:rFonts w:hint="eastAsia"/>
        </w:rPr>
        <w:t>城市性质</w:t>
      </w:r>
    </w:p>
    <w:p w14:paraId="06B3FC78">
      <w:pPr>
        <w:ind w:firstLine="640"/>
      </w:pPr>
      <w:r>
        <w:rPr>
          <w:rFonts w:hint="eastAsia"/>
        </w:rPr>
        <w:t>健康养老、商贸服务、科技创新基地，大运河畔生态宜居城市。</w:t>
      </w:r>
    </w:p>
    <w:p w14:paraId="41E93094">
      <w:pPr>
        <w:ind w:firstLine="640"/>
      </w:pPr>
      <w:r>
        <w:rPr>
          <w:rFonts w:hint="eastAsia"/>
        </w:rPr>
        <w:t>建设健康养老基地。依托县域良好的自然环境本底和大爱城等区域养老项目，积极承接北京优质医疗、养老资源疏解，完善养老服务体系，推进健康养老产业发展。</w:t>
      </w:r>
    </w:p>
    <w:p w14:paraId="29F98551">
      <w:pPr>
        <w:ind w:firstLine="640"/>
      </w:pPr>
      <w:r>
        <w:rPr>
          <w:rFonts w:hint="eastAsia"/>
        </w:rPr>
        <w:t>建设商贸服务基地。把握香河已形成的家具产业集群优势，结合香河家具城等存量资源，聚集区域商贸服务功能，强化商贸服务环节在县域内布局。</w:t>
      </w:r>
    </w:p>
    <w:p w14:paraId="647C4F50">
      <w:pPr>
        <w:ind w:firstLine="640"/>
      </w:pPr>
      <w:r>
        <w:rPr>
          <w:rFonts w:hint="eastAsia"/>
        </w:rPr>
        <w:t>打造科技创新基地。依托香河地处环首都经济圈的区位优势，发挥机器人产业优势，重点承接研发孵化、智能制造功能，建设首都圈科技创新产业基地，推进与北京城市副中在产业链、价值链、创新链一体化高质量发展。</w:t>
      </w:r>
    </w:p>
    <w:p w14:paraId="2462BD6A">
      <w:pPr>
        <w:ind w:firstLine="640"/>
      </w:pPr>
      <w:r>
        <w:rPr>
          <w:rFonts w:hint="eastAsia"/>
        </w:rPr>
        <w:t>建成大运河畔生态宜居城市。以大运河文化公园建设为契机，充分利用大水厚绿的景观环境优势，合理发掘运河文化资源禀赋，营造京津绿色休闲高地，形成区域绿色休闲消费中心。提升城市公共服务水平，对标北京城市副中心，改善人居环境，建设宜居城市。</w:t>
      </w:r>
    </w:p>
    <w:p w14:paraId="7B09608C">
      <w:pPr>
        <w:pStyle w:val="4"/>
      </w:pPr>
      <w:r>
        <w:rPr>
          <w:rFonts w:hint="eastAsia"/>
        </w:rPr>
        <w:t>规划目标</w:t>
      </w:r>
    </w:p>
    <w:p w14:paraId="31C9E148">
      <w:pPr>
        <w:ind w:firstLine="640"/>
      </w:pPr>
      <w:r>
        <w:rPr>
          <w:rFonts w:hint="eastAsia"/>
        </w:rPr>
        <w:t>至2025年，</w:t>
      </w:r>
      <w:bookmarkStart w:id="142" w:name="_Hlk136961399"/>
      <w:r>
        <w:rPr>
          <w:rFonts w:hint="eastAsia"/>
        </w:rPr>
        <w:t>香河县向高质量发展迈出坚实步伐。</w:t>
      </w:r>
      <w:bookmarkEnd w:id="142"/>
      <w:r>
        <w:rPr>
          <w:rFonts w:hint="eastAsia"/>
        </w:rPr>
        <w:t>国土空间开发保护格局不断优化，重大国家战略落实取得突破性进展，耕地和永久基本农田得到全面保护，生态环境有明显改善，城乡统筹发展达到较高水平。产业转型升级迈出实质性步伐。土地节约集约利用水平不断提升，资源要素配置更趋合理，区域发展落差逐步缩小。公共配套和基础设施短板有效缓解。国土空间治理能力现代化水平显著提升。</w:t>
      </w:r>
    </w:p>
    <w:p w14:paraId="28D45BE7">
      <w:pPr>
        <w:ind w:firstLine="640"/>
      </w:pPr>
      <w:r>
        <w:rPr>
          <w:rFonts w:hint="eastAsia"/>
        </w:rPr>
        <w:t>至2035年，</w:t>
      </w:r>
      <w:bookmarkStart w:id="143" w:name="_Hlk136961409"/>
      <w:r>
        <w:rPr>
          <w:rFonts w:hint="eastAsia"/>
        </w:rPr>
        <w:t>生态宜居城市建设成效显著。</w:t>
      </w:r>
      <w:bookmarkEnd w:id="143"/>
      <w:r>
        <w:rPr>
          <w:rFonts w:hint="eastAsia"/>
        </w:rPr>
        <w:t>香河县与北京城市副中心一体化高质量发展格局基本形成。国土空间开发保护新格局形成。粮食安全格局更加稳固，生态环境根本好转，实现生态建设与合理利用的有机融合。产业全面实现高端高新化发展，战略性新兴产业布局完善。城乡实现高水平统筹发展，新型城乡关系基本形成，基本公共服务实现均等化，城乡风貌有显著提升。建成承接北京非首都功能疏解的卫星城。</w:t>
      </w:r>
    </w:p>
    <w:p w14:paraId="75D6711A">
      <w:pPr>
        <w:ind w:firstLine="640"/>
      </w:pPr>
      <w:r>
        <w:rPr>
          <w:rFonts w:hint="eastAsia"/>
        </w:rPr>
        <w:t>至2050年，</w:t>
      </w:r>
      <w:bookmarkStart w:id="144" w:name="_Hlk136961433"/>
      <w:r>
        <w:rPr>
          <w:rFonts w:hint="eastAsia"/>
        </w:rPr>
        <w:t>建成首都都市圈的重要节点</w:t>
      </w:r>
      <w:bookmarkEnd w:id="144"/>
      <w:r>
        <w:rPr>
          <w:rFonts w:hint="eastAsia"/>
        </w:rPr>
        <w:t>。与周边地区全面协同发展，“最先进的理念、最高的标准、最好的质量，突出绿色、低碳、环保、可持续”的发展理念得到全面落实，成为新时期县城建设的典范。</w:t>
      </w:r>
    </w:p>
    <w:p w14:paraId="10DC0C1E">
      <w:pPr>
        <w:pStyle w:val="3"/>
        <w:spacing w:before="435" w:after="435"/>
      </w:pPr>
      <w:bookmarkStart w:id="145" w:name="_Toc23084"/>
      <w:bookmarkStart w:id="146" w:name="_Toc157528332"/>
      <w:r>
        <w:rPr>
          <w:rFonts w:hint="eastAsia"/>
        </w:rPr>
        <w:t>国土空间开发保护策略</w:t>
      </w:r>
      <w:bookmarkEnd w:id="145"/>
      <w:bookmarkEnd w:id="146"/>
    </w:p>
    <w:p w14:paraId="64C99591">
      <w:pPr>
        <w:pStyle w:val="4"/>
      </w:pPr>
      <w:r>
        <w:rPr>
          <w:rFonts w:hint="eastAsia"/>
        </w:rPr>
        <w:t>底线约束策略</w:t>
      </w:r>
    </w:p>
    <w:p w14:paraId="226D1481">
      <w:pPr>
        <w:ind w:firstLine="640"/>
      </w:pPr>
      <w:r>
        <w:rPr>
          <w:rFonts w:hint="eastAsia"/>
        </w:rPr>
        <w:t>以资源环境承载能力和国土空间开发适宜性评价为前提，落实最严格的耕地保护制度，坚决遏制耕地“非农化”，防止耕地“非粮化”，坚决守住耕地保护红线。践行绿水青山就是金山银山的理念，坚持绿色发展，推动形成绿色生产生活方式，提升国土空间可持续利用能力。</w:t>
      </w:r>
    </w:p>
    <w:p w14:paraId="3A39EBC1">
      <w:pPr>
        <w:pStyle w:val="4"/>
      </w:pPr>
      <w:r>
        <w:rPr>
          <w:rFonts w:hint="eastAsia"/>
        </w:rPr>
        <w:t>协同发展策略</w:t>
      </w:r>
    </w:p>
    <w:p w14:paraId="5B1616F0">
      <w:pPr>
        <w:ind w:firstLine="640"/>
      </w:pPr>
      <w:r>
        <w:rPr>
          <w:rFonts w:hint="eastAsia"/>
        </w:rPr>
        <w:t>服从服务京津冀协同发展战略，紧紧扭住北京非首都功能疏解这一“牛鼻子”，落实北京城市副中心与廊坊北三县一体化高质量发展要求，积极对接北京及周边区县，保障生态、交通、产业、公共服务、基础设施等重点领域协同发展重大项目空间需求，打造高水平承接平台，推动重点领域协同发展向纵深拓展，融入京津冀世界级城市群，增强国土空间竞争力。</w:t>
      </w:r>
    </w:p>
    <w:p w14:paraId="797AEE7E">
      <w:pPr>
        <w:pStyle w:val="4"/>
      </w:pPr>
      <w:r>
        <w:rPr>
          <w:rFonts w:hint="eastAsia"/>
        </w:rPr>
        <w:t>文化带动策略</w:t>
      </w:r>
    </w:p>
    <w:p w14:paraId="7C1C5AE5">
      <w:pPr>
        <w:ind w:firstLine="640"/>
      </w:pPr>
      <w:r>
        <w:rPr>
          <w:rFonts w:hint="eastAsia"/>
        </w:rPr>
        <w:t>把握大运河国家文化公园建设要求，充分发掘以大运河世界文化遗产为核心的文化遗存，恢复历史风貌，展示传统文化。以大运河旅游通航为契机，联动京津，带动香河文化产业和相关服务业蓬勃发展。围绕大运河、第一城等文化资源，依托京唐城际铁路香河站等交通枢纽和家具城等城市重要功能区，布局文旅、文创相关产业空间。</w:t>
      </w:r>
    </w:p>
    <w:p w14:paraId="66D7FE99">
      <w:pPr>
        <w:pStyle w:val="4"/>
      </w:pPr>
      <w:r>
        <w:rPr>
          <w:rFonts w:hint="eastAsia"/>
        </w:rPr>
        <w:t>节约集约策略</w:t>
      </w:r>
    </w:p>
    <w:p w14:paraId="074F13B8">
      <w:pPr>
        <w:ind w:firstLine="640"/>
      </w:pPr>
      <w:r>
        <w:rPr>
          <w:rFonts w:hint="eastAsia"/>
        </w:rPr>
        <w:t>优化产业与创新空间布局，改变以资源环境过度消耗为代价的增长方式，完善全域产业空间布局，逐步整理低效零散产业用地，推动资源节约集约利用。</w:t>
      </w:r>
    </w:p>
    <w:p w14:paraId="7FB42F0A">
      <w:pPr>
        <w:pStyle w:val="4"/>
      </w:pPr>
      <w:r>
        <w:rPr>
          <w:rFonts w:hint="eastAsia"/>
        </w:rPr>
        <w:t>城乡统筹策略</w:t>
      </w:r>
    </w:p>
    <w:p w14:paraId="3E7D917D">
      <w:pPr>
        <w:ind w:firstLine="640"/>
      </w:pPr>
      <w:r>
        <w:rPr>
          <w:rFonts w:hint="eastAsia"/>
        </w:rPr>
        <w:t>坚持以人民为中心，完善城乡生活圈，加强公共服务设施、基础设施空间保障，提升国土空间品质，满足人民对美好生活的需要，切实增强人民群众的获得感、幸福感、安全感，提高国土空间宜居性。</w:t>
      </w:r>
    </w:p>
    <w:p w14:paraId="72432FD0">
      <w:pPr>
        <w:ind w:firstLine="640"/>
        <w:sectPr>
          <w:pgSz w:w="11906" w:h="16838"/>
          <w:pgMar w:top="1440" w:right="1800" w:bottom="1440" w:left="1800" w:header="851" w:footer="992" w:gutter="0"/>
          <w:cols w:space="425" w:num="1"/>
          <w:docGrid w:type="lines" w:linePitch="435" w:charSpace="0"/>
        </w:sectPr>
      </w:pPr>
    </w:p>
    <w:p w14:paraId="168E42BD">
      <w:pPr>
        <w:pStyle w:val="2"/>
        <w:spacing w:before="1522" w:after="652"/>
        <w:rPr>
          <w:rFonts w:hint="eastAsia"/>
        </w:rPr>
      </w:pPr>
      <w:bookmarkStart w:id="147" w:name="_Toc157528333"/>
      <w:bookmarkStart w:id="148" w:name="_Toc29190"/>
      <w:r>
        <w:rPr>
          <w:rFonts w:hint="eastAsia"/>
        </w:rPr>
        <w:t>构建以“三区三线”为基础的国土</w:t>
      </w:r>
      <w:r>
        <w:t>空间</w:t>
      </w:r>
      <w:r>
        <w:rPr>
          <w:rFonts w:hint="eastAsia"/>
        </w:rPr>
        <w:t>开发保护新</w:t>
      </w:r>
      <w:r>
        <w:t>格局</w:t>
      </w:r>
      <w:bookmarkEnd w:id="147"/>
      <w:bookmarkEnd w:id="148"/>
    </w:p>
    <w:p w14:paraId="6AA31005">
      <w:pPr>
        <w:ind w:firstLine="640"/>
      </w:pPr>
      <w:r>
        <w:rPr>
          <w:rFonts w:hint="eastAsia" w:ascii="仿宋_GB2312"/>
        </w:rPr>
        <w:t>立足资源环境承载能力和国土开发适宜性，落实上位要求，</w:t>
      </w:r>
      <w:r>
        <w:rPr>
          <w:rFonts w:ascii="仿宋_GB2312"/>
        </w:rPr>
        <w:t>按照</w:t>
      </w:r>
      <w:r>
        <w:rPr>
          <w:rFonts w:hint="eastAsia" w:ascii="仿宋_GB2312"/>
        </w:rPr>
        <w:t>耕地和永久基本农田、生态保护红线、城镇开发边界的优先序</w:t>
      </w:r>
      <w:r>
        <w:rPr>
          <w:rFonts w:ascii="仿宋_GB2312"/>
        </w:rPr>
        <w:t>统筹划定三条控制线</w:t>
      </w:r>
      <w:r>
        <w:rPr>
          <w:rFonts w:hint="eastAsia" w:ascii="仿宋_GB2312"/>
        </w:rPr>
        <w:t>，落实细化主体功能区，构建主体功能明确、空间特色突出的国土空间开发保护新格局。</w:t>
      </w:r>
    </w:p>
    <w:p w14:paraId="0CAA74F9">
      <w:pPr>
        <w:pStyle w:val="3"/>
        <w:spacing w:before="435" w:after="435"/>
      </w:pPr>
      <w:bookmarkStart w:id="149" w:name="_Toc157528334"/>
      <w:bookmarkStart w:id="150" w:name="_Toc23722"/>
      <w:r>
        <w:rPr>
          <w:rFonts w:hint="eastAsia"/>
        </w:rPr>
        <w:t>统筹划定落实三条控制线</w:t>
      </w:r>
      <w:bookmarkEnd w:id="149"/>
      <w:bookmarkEnd w:id="150"/>
    </w:p>
    <w:p w14:paraId="0256302E">
      <w:pPr>
        <w:pStyle w:val="4"/>
      </w:pPr>
      <w:r>
        <w:rPr>
          <w:rFonts w:hint="eastAsia"/>
        </w:rPr>
        <w:t>耕地和永久基本农田保护红线</w:t>
      </w:r>
    </w:p>
    <w:p w14:paraId="3F82FF45">
      <w:pPr>
        <w:ind w:firstLine="640"/>
      </w:pPr>
      <w:r>
        <w:rPr>
          <w:rFonts w:hint="eastAsia"/>
        </w:rPr>
        <w:t>现状耕地应划尽划、应保尽保，</w:t>
      </w:r>
      <w:bookmarkStart w:id="151" w:name="_Hlk136961471"/>
      <w:r>
        <w:rPr>
          <w:rFonts w:hint="eastAsia"/>
        </w:rPr>
        <w:t>全县确定耕地保有量不低于</w:t>
      </w:r>
      <w:r>
        <w:t>24.74</w:t>
      </w:r>
      <w:r>
        <w:rPr>
          <w:rFonts w:hint="eastAsia"/>
        </w:rPr>
        <w:t>万亩</w:t>
      </w:r>
      <w:bookmarkEnd w:id="151"/>
      <w:r>
        <w:rPr>
          <w:rFonts w:hint="eastAsia"/>
        </w:rPr>
        <w:t>，划定永久基本农田</w:t>
      </w:r>
      <w:bookmarkStart w:id="152" w:name="_Hlk136961484"/>
      <w:r>
        <w:t>21.82</w:t>
      </w:r>
      <w:r>
        <w:rPr>
          <w:rFonts w:hint="eastAsia"/>
        </w:rPr>
        <w:t>万亩</w:t>
      </w:r>
      <w:bookmarkEnd w:id="152"/>
      <w:r>
        <w:rPr>
          <w:rFonts w:hint="eastAsia"/>
        </w:rPr>
        <w:t>，主要分布于县域东部和南部五百户、刘宋、安头屯、钱旺、渠口各镇。</w:t>
      </w:r>
    </w:p>
    <w:p w14:paraId="1F87DA81">
      <w:pPr>
        <w:ind w:firstLine="640"/>
      </w:pPr>
      <w:r>
        <w:rPr>
          <w:rStyle w:val="103"/>
          <w:rFonts w:hint="eastAsia"/>
        </w:rPr>
        <w:t>严格实施耕地用途管制，对永久基本农田实施特殊保护。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p>
    <w:p w14:paraId="39D64893">
      <w:pPr>
        <w:pStyle w:val="4"/>
      </w:pPr>
      <w:r>
        <w:rPr>
          <w:rFonts w:hint="eastAsia"/>
        </w:rPr>
        <w:t>生态保护红线</w:t>
      </w:r>
    </w:p>
    <w:p w14:paraId="6CAB14B4">
      <w:pPr>
        <w:ind w:firstLine="640"/>
      </w:pPr>
      <w:r>
        <w:rPr>
          <w:rFonts w:hint="eastAsia"/>
        </w:rPr>
        <w:t>全县划定生态保护红线面积</w:t>
      </w:r>
      <w:bookmarkStart w:id="153" w:name="_Hlk136961598"/>
      <w:r>
        <w:t>21.72</w:t>
      </w:r>
      <w:bookmarkEnd w:id="153"/>
      <w:r>
        <w:rPr>
          <w:rFonts w:hint="eastAsia"/>
        </w:rPr>
        <w:t>平方千米，包括</w:t>
      </w:r>
      <w:bookmarkStart w:id="154" w:name="_Hlk136961540"/>
      <w:r>
        <w:rPr>
          <w:rFonts w:hint="eastAsia"/>
        </w:rPr>
        <w:t>河北香河潮白河大运河国家湿地公园全部范围和北运河与青龙湾河交叉口以南的与天津交界部分的北运河河道</w:t>
      </w:r>
      <w:bookmarkEnd w:id="154"/>
      <w:r>
        <w:rPr>
          <w:rFonts w:hint="eastAsia"/>
        </w:rPr>
        <w:t>。</w:t>
      </w:r>
    </w:p>
    <w:p w14:paraId="7A462D68">
      <w:pPr>
        <w:ind w:firstLine="640"/>
      </w:pPr>
      <w:r>
        <w:rPr>
          <w:rStyle w:val="103"/>
          <w:rFonts w:hint="eastAsia"/>
        </w:rPr>
        <w:t>生态保护红线内，自然保护地核心保护区原则上禁止人为活动。生态保护红线内自然保护地核心保护区外，禁止开发性、生产性建设活动，在符合法律法规的前提下，仅允许对生态功能不造成破坏的有限人为活动。生态保护红线内自然保护区、风景名胜区、饮用水水源保护区等区域，依照相应法律法规执行。</w:t>
      </w:r>
    </w:p>
    <w:p w14:paraId="7148DDE6">
      <w:pPr>
        <w:pStyle w:val="4"/>
      </w:pPr>
      <w:r>
        <w:rPr>
          <w:rFonts w:hint="eastAsia"/>
        </w:rPr>
        <w:t>城镇开发边界</w:t>
      </w:r>
    </w:p>
    <w:p w14:paraId="1375A8C8">
      <w:pPr>
        <w:ind w:firstLine="640"/>
      </w:pPr>
      <w:r>
        <w:rPr>
          <w:rFonts w:hint="eastAsia"/>
        </w:rPr>
        <w:t>全县</w:t>
      </w:r>
      <w:r>
        <w:rPr>
          <w:rStyle w:val="103"/>
          <w:rFonts w:hint="eastAsia"/>
          <w:u w:val="none"/>
        </w:rPr>
        <w:t>城镇开发边界扩展倍数控制在基于</w:t>
      </w:r>
      <w:r>
        <w:rPr>
          <w:rStyle w:val="103"/>
          <w:u w:val="none"/>
        </w:rPr>
        <w:t>2020</w:t>
      </w:r>
      <w:r>
        <w:rPr>
          <w:rStyle w:val="103"/>
          <w:rFonts w:hint="eastAsia"/>
          <w:u w:val="none"/>
        </w:rPr>
        <w:t>年现状城镇建设用地规模的</w:t>
      </w:r>
      <w:r>
        <w:rPr>
          <w:rStyle w:val="103"/>
          <w:u w:val="none"/>
        </w:rPr>
        <w:t>1.19</w:t>
      </w:r>
      <w:r>
        <w:rPr>
          <w:rStyle w:val="103"/>
          <w:rFonts w:hint="eastAsia"/>
          <w:u w:val="none"/>
        </w:rPr>
        <w:t>倍以内，不得擅自突破，</w:t>
      </w:r>
      <w:r>
        <w:t>主要分布于中心城区</w:t>
      </w:r>
      <w:r>
        <w:rPr>
          <w:rFonts w:hint="eastAsia"/>
        </w:rPr>
        <w:t>和各镇政府驻地。</w:t>
      </w:r>
    </w:p>
    <w:p w14:paraId="23D8CD9C">
      <w:pPr>
        <w:pStyle w:val="102"/>
      </w:pPr>
      <w:r>
        <w:rPr>
          <w:rStyle w:val="103"/>
          <w:rFonts w:hint="eastAsia"/>
        </w:rPr>
        <w:t>城镇开发边界内的建设活动，实行“详细规划+规划许可”的管制方式。城镇开发边界外的建设活动，按照主导用途分区，实行“详细规划+规划许可”和“约束指标+分区准入”的管制方式，不得进行城镇集中建设，不得规划建设各类开发区和产业园区，不得规划城镇居住用地。</w:t>
      </w:r>
    </w:p>
    <w:p w14:paraId="4F54A20D">
      <w:pPr>
        <w:pStyle w:val="3"/>
        <w:spacing w:before="435" w:after="435"/>
      </w:pPr>
      <w:bookmarkStart w:id="155" w:name="_Toc23324"/>
      <w:bookmarkStart w:id="156" w:name="_Toc157528335"/>
      <w:r>
        <w:rPr>
          <w:rFonts w:hint="eastAsia"/>
        </w:rPr>
        <w:t>细化落实主体功能区定位</w:t>
      </w:r>
      <w:bookmarkEnd w:id="155"/>
      <w:bookmarkEnd w:id="156"/>
    </w:p>
    <w:p w14:paraId="7CD9B864">
      <w:pPr>
        <w:pStyle w:val="4"/>
      </w:pPr>
      <w:bookmarkStart w:id="157" w:name="_Hlk131498828"/>
      <w:r>
        <w:rPr>
          <w:rFonts w:hint="eastAsia"/>
        </w:rPr>
        <w:t>落实和细化乡镇级主体功能区划分</w:t>
      </w:r>
    </w:p>
    <w:p w14:paraId="5F9E0DD3">
      <w:pPr>
        <w:ind w:firstLine="640"/>
      </w:pPr>
      <w:r>
        <w:rPr>
          <w:rFonts w:hint="eastAsia"/>
        </w:rPr>
        <w:t>落实河北省主体功能区布局要求，香河县为国家级城市化地区。以各镇为单元，细化主体功能分区，将淑阳镇、蒋辛屯镇、渠口镇、安头屯镇、安平镇、钳屯镇、钱旺镇细化为城市化地区，将刘宋镇、五百户镇细化为农产品主产区，制定差异化政策，强化要素保障。</w:t>
      </w:r>
    </w:p>
    <w:p w14:paraId="279715EA">
      <w:pPr>
        <w:pStyle w:val="4"/>
      </w:pPr>
      <w:bookmarkStart w:id="158" w:name="_Hlk156398964"/>
      <w:r>
        <w:rPr>
          <w:rFonts w:hint="eastAsia"/>
        </w:rPr>
        <w:t>支持城市化地区集聚高效发展</w:t>
      </w:r>
      <w:bookmarkEnd w:id="158"/>
    </w:p>
    <w:p w14:paraId="6A308CAB">
      <w:pPr>
        <w:ind w:firstLine="640"/>
      </w:pPr>
      <w:r>
        <w:rPr>
          <w:rFonts w:hint="eastAsia"/>
        </w:rPr>
        <w:t>强化集聚效应，优化城镇空间格局，增强城镇承载能力，完善公共服务和基础设施，挖潜存量资源，盘活低效用地，打造高品质人居环境。</w:t>
      </w:r>
    </w:p>
    <w:p w14:paraId="63917414">
      <w:pPr>
        <w:pStyle w:val="4"/>
      </w:pPr>
      <w:r>
        <w:rPr>
          <w:rFonts w:hint="eastAsia"/>
        </w:rPr>
        <w:t>增强农产品主产区生产能力</w:t>
      </w:r>
    </w:p>
    <w:p w14:paraId="5E1F1C0C">
      <w:pPr>
        <w:ind w:firstLine="640"/>
      </w:pPr>
      <w:r>
        <w:rPr>
          <w:rFonts w:hint="eastAsia"/>
        </w:rPr>
        <w:t>保障粮食和重要农产品供给，加强耕地保护，推进高标准农田建设，优化农业种植结构和空间布局，为保障粮食安全和特色农业发展提供支撑。</w:t>
      </w:r>
    </w:p>
    <w:bookmarkEnd w:id="157"/>
    <w:p w14:paraId="6A83F111">
      <w:pPr>
        <w:pStyle w:val="3"/>
        <w:spacing w:before="435" w:after="435"/>
      </w:pPr>
      <w:bookmarkStart w:id="159" w:name="_Toc157528336"/>
      <w:bookmarkStart w:id="160" w:name="_Toc26073"/>
      <w:r>
        <w:rPr>
          <w:rFonts w:hint="eastAsia"/>
        </w:rPr>
        <w:t>构建国土空间开发保护格局</w:t>
      </w:r>
      <w:bookmarkEnd w:id="159"/>
      <w:bookmarkEnd w:id="160"/>
    </w:p>
    <w:p w14:paraId="62C40AEA">
      <w:pPr>
        <w:pStyle w:val="4"/>
      </w:pPr>
      <w:r>
        <w:rPr>
          <w:rFonts w:hint="eastAsia"/>
        </w:rPr>
        <w:t>构建“一主两副多点、一洲两廊两区”总体格局</w:t>
      </w:r>
    </w:p>
    <w:p w14:paraId="15E3A8DF">
      <w:pPr>
        <w:ind w:firstLine="640"/>
      </w:pPr>
      <w:r>
        <w:rPr>
          <w:rFonts w:hint="eastAsia"/>
        </w:rPr>
        <w:t>以规划评估、评价分析为基础，统筹各保护类要素和城乡、产业、交通等发展类要素布局，构建香河</w:t>
      </w:r>
      <w:bookmarkStart w:id="161" w:name="_Hlk136961660"/>
      <w:r>
        <w:rPr>
          <w:rFonts w:hint="eastAsia"/>
        </w:rPr>
        <w:t>“一主两副多点、一洲两廊两区”的开发保护格局</w:t>
      </w:r>
      <w:bookmarkEnd w:id="161"/>
      <w:r>
        <w:rPr>
          <w:rFonts w:hint="eastAsia"/>
        </w:rPr>
        <w:t>。</w:t>
      </w:r>
    </w:p>
    <w:p w14:paraId="59D24222">
      <w:pPr>
        <w:pStyle w:val="4"/>
      </w:pPr>
      <w:r>
        <w:rPr>
          <w:rFonts w:hint="eastAsia"/>
        </w:rPr>
        <w:t>做优做强中心城区</w:t>
      </w:r>
    </w:p>
    <w:p w14:paraId="72400B5C">
      <w:pPr>
        <w:ind w:firstLine="640"/>
      </w:pPr>
      <w:bookmarkStart w:id="162" w:name="_Hlk144843788"/>
      <w:r>
        <w:rPr>
          <w:rFonts w:hint="eastAsia"/>
        </w:rPr>
        <w:t>促进香河中心城区成为廊坊北三县地区的活力组团。</w:t>
      </w:r>
      <w:bookmarkEnd w:id="162"/>
      <w:r>
        <w:rPr>
          <w:rFonts w:hint="eastAsia"/>
        </w:rPr>
        <w:t>重点改善人居环境，提升城市服务能级。整合优化产业空间布局，提振香河经济开发区，建设成为香河发展新引擎。</w:t>
      </w:r>
    </w:p>
    <w:p w14:paraId="1E00AFAD">
      <w:pPr>
        <w:pStyle w:val="4"/>
      </w:pPr>
      <w:bookmarkStart w:id="163" w:name="_Hlk144843811"/>
      <w:r>
        <w:rPr>
          <w:rFonts w:hint="eastAsia"/>
        </w:rPr>
        <w:t>打造两个县域副中心</w:t>
      </w:r>
    </w:p>
    <w:bookmarkEnd w:id="163"/>
    <w:p w14:paraId="1B603F04">
      <w:pPr>
        <w:ind w:firstLine="640"/>
      </w:pPr>
      <w:r>
        <w:rPr>
          <w:rFonts w:hint="eastAsia"/>
        </w:rPr>
        <w:t>打造蒋辛屯、安平两个县域副中心。</w:t>
      </w:r>
      <w:bookmarkStart w:id="164" w:name="_Hlk144843831"/>
      <w:r>
        <w:rPr>
          <w:rFonts w:hint="eastAsia"/>
        </w:rPr>
        <w:t>蒋辛屯镇重点推进创新发展，建设集成创新产业、创新服务的区域创新节点。安平镇重点推进改造提升，融合发展绿色健康、创新孵化、文创会展等功能，提升城市品质。</w:t>
      </w:r>
      <w:bookmarkEnd w:id="164"/>
    </w:p>
    <w:p w14:paraId="565E34A6">
      <w:pPr>
        <w:pStyle w:val="4"/>
      </w:pPr>
      <w:r>
        <w:rPr>
          <w:rFonts w:hint="eastAsia"/>
        </w:rPr>
        <w:t>建设多处特色节点</w:t>
      </w:r>
    </w:p>
    <w:p w14:paraId="7716A6FB">
      <w:pPr>
        <w:ind w:firstLine="640"/>
      </w:pPr>
      <w:r>
        <w:rPr>
          <w:rFonts w:hint="eastAsia"/>
        </w:rPr>
        <w:t>建设钱旺、渠口、安头屯、五百户、刘宋等5个城镇功能节点。形成对中心城区功能的补充支撑，强化镇级服务能力，完善公共服务体系，强化特色产业功能。</w:t>
      </w:r>
    </w:p>
    <w:p w14:paraId="3B10F3DA">
      <w:pPr>
        <w:pStyle w:val="4"/>
      </w:pPr>
      <w:r>
        <w:rPr>
          <w:rFonts w:hint="eastAsia"/>
        </w:rPr>
        <w:t>支持</w:t>
      </w:r>
      <w:bookmarkStart w:id="165" w:name="_Hlk144844027"/>
      <w:r>
        <w:rPr>
          <w:rFonts w:hint="eastAsia"/>
        </w:rPr>
        <w:t>生态绿洲</w:t>
      </w:r>
      <w:bookmarkEnd w:id="165"/>
      <w:r>
        <w:rPr>
          <w:rFonts w:hint="eastAsia"/>
        </w:rPr>
        <w:t>建设</w:t>
      </w:r>
    </w:p>
    <w:p w14:paraId="1467D807">
      <w:pPr>
        <w:ind w:firstLine="640"/>
      </w:pPr>
      <w:r>
        <w:rPr>
          <w:rFonts w:hint="eastAsia"/>
        </w:rPr>
        <w:t>生态绿洲范围包括蒋辛屯镇西部地区、中心城区运河大道以西、安平镇北部。</w:t>
      </w:r>
      <w:bookmarkStart w:id="166" w:name="_Hlk144844043"/>
      <w:r>
        <w:rPr>
          <w:rFonts w:hint="eastAsia"/>
        </w:rPr>
        <w:t>重点保护和修复潮白河、北运河水系生态，在保护生态的前提下合理布局现代农业、体验观光农业、都市郊野休闲游憩等功能，突出生态保护与旅游休闲的复合功能。</w:t>
      </w:r>
      <w:bookmarkEnd w:id="166"/>
    </w:p>
    <w:p w14:paraId="6ED7323F">
      <w:pPr>
        <w:pStyle w:val="4"/>
      </w:pPr>
      <w:r>
        <w:rPr>
          <w:rFonts w:hint="eastAsia"/>
        </w:rPr>
        <w:t>营造两条生态廊道</w:t>
      </w:r>
    </w:p>
    <w:p w14:paraId="3BEA8EA3">
      <w:pPr>
        <w:ind w:firstLine="640"/>
      </w:pPr>
      <w:r>
        <w:rPr>
          <w:rFonts w:hint="eastAsia"/>
        </w:rPr>
        <w:t>北运河文化遗产与生态走廊。巩固和推进沿岸生态景观建设成果，保持“大水厚绿”的生态特色。发掘以大运河世界文化遗产为核心的文化遗存，保护历史遗迹，恢复历史风貌，展示传统文化。以大运河通航为契机，带动香河文化旅游产业和相关服务业加速发展。</w:t>
      </w:r>
    </w:p>
    <w:p w14:paraId="0E52FBF5">
      <w:pPr>
        <w:ind w:firstLine="640"/>
      </w:pPr>
      <w:r>
        <w:rPr>
          <w:rFonts w:hint="eastAsia"/>
        </w:rPr>
        <w:t>潮白河生态绿廊。推进潮白河两岸生态建设，改善河岸湿地生态环境，形成贯穿县域的景观绿廊，串联蒋辛屯镇、中心城区以及县域东部地区。在保护生态前提下建设滨河开敞空间，完善服务设施体系。</w:t>
      </w:r>
    </w:p>
    <w:p w14:paraId="2098B043">
      <w:pPr>
        <w:pStyle w:val="4"/>
      </w:pPr>
      <w:r>
        <w:rPr>
          <w:rFonts w:hint="eastAsia"/>
        </w:rPr>
        <w:t>推动两个功能区建设</w:t>
      </w:r>
    </w:p>
    <w:p w14:paraId="601090A4">
      <w:pPr>
        <w:ind w:firstLine="640"/>
      </w:pPr>
      <w:r>
        <w:rPr>
          <w:rFonts w:hint="eastAsia"/>
        </w:rPr>
        <w:t>北部活力休闲康养区主要包括潮白河以北蒋辛屯以东的地区，围绕国华影视基地、打卜户森林公园、大爱城等重要功能节点，布局文旅休闲、康养健身等功能。南部现代农业发展区主要包括钳屯镇南部、五百户镇、安头屯镇南部、刘宋镇等地区，围绕刘宋万亩荷塘、蔬菜基地等特色农业空间，促进现代都市农业发展。</w:t>
      </w:r>
    </w:p>
    <w:p w14:paraId="7689D94A">
      <w:pPr>
        <w:pStyle w:val="3"/>
        <w:spacing w:before="435" w:after="435"/>
      </w:pPr>
      <w:bookmarkStart w:id="167" w:name="_Toc157528337"/>
      <w:bookmarkStart w:id="168" w:name="_Toc12244"/>
      <w:r>
        <w:rPr>
          <w:rFonts w:hint="eastAsia"/>
        </w:rPr>
        <w:t>完善国土规划分区和功能结构</w:t>
      </w:r>
      <w:bookmarkEnd w:id="167"/>
      <w:bookmarkEnd w:id="168"/>
    </w:p>
    <w:p w14:paraId="2161D370">
      <w:pPr>
        <w:pStyle w:val="4"/>
      </w:pPr>
      <w:r>
        <w:rPr>
          <w:rFonts w:hint="eastAsia"/>
        </w:rPr>
        <w:t>划定国土空间规划分区</w:t>
      </w:r>
    </w:p>
    <w:p w14:paraId="40F9245D">
      <w:pPr>
        <w:ind w:firstLine="640"/>
      </w:pPr>
      <w:r>
        <w:rPr>
          <w:rFonts w:hint="eastAsia"/>
        </w:rPr>
        <w:t>生态保护区。将具有特殊重要生态功能或生态敏感脆弱、必须强制性严格保护的自然区域划定为生态保护区，与全县生态保护红线范围一致，按照生态保护红线管控要求进行管理。主要为河北香河潮白河大运河国家湿地公园全部范围和北运河与青龙湾河交叉口以南的与天津交界部分的北运河河道。</w:t>
      </w:r>
    </w:p>
    <w:p w14:paraId="30F4D1DD">
      <w:pPr>
        <w:ind w:firstLine="640"/>
      </w:pPr>
      <w:r>
        <w:rPr>
          <w:rFonts w:hint="eastAsia"/>
        </w:rPr>
        <w:t>生态控制区。将生态保护红线外，需要强化生态保护和生态建设、限制开发建设的区域划定为生态控制区，包括交界地区生态绿带，北运河、潮白河等未划入生态红线的河滨岸带及缓冲区，万亩荷塘等重要生态节点等。</w:t>
      </w:r>
    </w:p>
    <w:p w14:paraId="3B23C91A">
      <w:pPr>
        <w:ind w:firstLine="640"/>
      </w:pPr>
      <w:r>
        <w:rPr>
          <w:rFonts w:hint="eastAsia"/>
        </w:rPr>
        <w:t>农田保护区。以全县永久基本农田保护范围为基础，并将周边具备开展耕地后备资源整治条件的区域统筹划定为农田保护区</w:t>
      </w:r>
      <w:bookmarkStart w:id="169" w:name="_Hlk57382774"/>
      <w:r>
        <w:rPr>
          <w:rFonts w:hint="eastAsia"/>
        </w:rPr>
        <w:t>，</w:t>
      </w:r>
      <w:bookmarkEnd w:id="169"/>
      <w:r>
        <w:rPr>
          <w:rFonts w:hint="eastAsia"/>
        </w:rPr>
        <w:t>主要集中在五百户镇、安头屯镇和刘宋镇。</w:t>
      </w:r>
    </w:p>
    <w:p w14:paraId="66E6BEAA">
      <w:pPr>
        <w:ind w:firstLine="640"/>
      </w:pPr>
      <w:r>
        <w:rPr>
          <w:rFonts w:hint="eastAsia"/>
        </w:rPr>
        <w:t>城镇发展区。将城镇集中开发建设并满足城镇生产、生活需要的区域划定为城镇发展区，主要分布于中心城区和各镇驻地。</w:t>
      </w:r>
    </w:p>
    <w:p w14:paraId="3D2D5FE4">
      <w:pPr>
        <w:ind w:firstLine="640"/>
      </w:pPr>
      <w:r>
        <w:rPr>
          <w:rFonts w:hint="eastAsia"/>
        </w:rPr>
        <w:t>乡村发展区。包括村庄建设区、林业发展区和一般农业区三个部分。村庄建设区是</w:t>
      </w:r>
      <w:r>
        <w:rPr>
          <w:rFonts w:hint="eastAsia" w:ascii="仿宋_GB2312" w:hAnsi="仿宋_GB2312" w:cs="仿宋_GB2312"/>
          <w:color w:val="000000" w:themeColor="text1"/>
          <w:kern w:val="0"/>
          <w:szCs w:val="21"/>
          <w14:textFill>
            <w14:solidFill>
              <w14:schemeClr w14:val="tx1"/>
            </w14:solidFill>
          </w14:textFill>
        </w:rPr>
        <w:t>城镇开发边界外，规划重点发展的村庄用地区域。</w:t>
      </w:r>
      <w:bookmarkStart w:id="170" w:name="_Hlk57383029"/>
      <w:r>
        <w:rPr>
          <w:rFonts w:hint="eastAsia"/>
        </w:rPr>
        <w:t>林业发展区</w:t>
      </w:r>
      <w:bookmarkEnd w:id="170"/>
      <w:r>
        <w:rPr>
          <w:rFonts w:hint="eastAsia"/>
        </w:rPr>
        <w:t>主要分布于潮白河、北运河等生态廊道周边。一般农业区是</w:t>
      </w:r>
      <w:r>
        <w:rPr>
          <w:rFonts w:hint="eastAsia" w:ascii="仿宋_GB2312" w:hAnsi="仿宋_GB2312" w:cs="仿宋_GB2312"/>
          <w:color w:val="000000" w:themeColor="text1"/>
          <w:kern w:val="0"/>
          <w:szCs w:val="21"/>
          <w14:textFill>
            <w14:solidFill>
              <w14:schemeClr w14:val="tx1"/>
            </w14:solidFill>
          </w14:textFill>
        </w:rPr>
        <w:t>以农业生产发展为主要利用功能导向划定的区域。</w:t>
      </w:r>
    </w:p>
    <w:p w14:paraId="5BE80451">
      <w:pPr>
        <w:pStyle w:val="4"/>
      </w:pPr>
      <w:r>
        <w:rPr>
          <w:rFonts w:hint="eastAsia"/>
        </w:rPr>
        <w:t>调整完善用地结构</w:t>
      </w:r>
    </w:p>
    <w:p w14:paraId="6EFA7A1B">
      <w:pPr>
        <w:ind w:firstLine="640"/>
      </w:pPr>
      <w:r>
        <w:rPr>
          <w:rFonts w:hint="eastAsia"/>
        </w:rPr>
        <w:t>优先落实耕地保护目标，规划期耕地面积保持稳定；改善全域生态环境，规划期林地面积保持稳定，园地适度减少，陆地水域面积保持稳定。</w:t>
      </w:r>
    </w:p>
    <w:p w14:paraId="1A2B401E">
      <w:pPr>
        <w:ind w:firstLine="640"/>
      </w:pPr>
      <w:r>
        <w:rPr>
          <w:rFonts w:hint="eastAsia"/>
        </w:rPr>
        <w:t>提升城镇集聚效应，规划期内城镇建设用地面积稳步提升；提升村庄建设用地效率，积极盘活村庄存量用地资源，强化乡村振兴用地保障；完善区域基础设施、特殊用地布局，规划期末区域基础设施用地、其他建设用地适度增加。</w:t>
      </w:r>
    </w:p>
    <w:p w14:paraId="08477E5E">
      <w:pPr>
        <w:ind w:firstLine="640"/>
        <w:sectPr>
          <w:pgSz w:w="11906" w:h="16838"/>
          <w:pgMar w:top="1440" w:right="1800" w:bottom="1440" w:left="1800" w:header="851" w:footer="992" w:gutter="0"/>
          <w:cols w:space="425" w:num="1"/>
          <w:docGrid w:type="lines" w:linePitch="435" w:charSpace="0"/>
        </w:sectPr>
      </w:pPr>
    </w:p>
    <w:p w14:paraId="39C789DB">
      <w:pPr>
        <w:pStyle w:val="2"/>
        <w:spacing w:before="1522" w:after="652"/>
        <w:rPr>
          <w:rFonts w:hint="eastAsia"/>
        </w:rPr>
      </w:pPr>
      <w:bookmarkStart w:id="171" w:name="_Toc157528338"/>
      <w:bookmarkStart w:id="172" w:name="_Toc24058"/>
      <w:r>
        <w:rPr>
          <w:rFonts w:hint="eastAsia"/>
        </w:rPr>
        <w:t>推进区域</w:t>
      </w:r>
      <w:r>
        <w:t>协同</w:t>
      </w:r>
      <w:r>
        <w:rPr>
          <w:rFonts w:hint="eastAsia"/>
        </w:rPr>
        <w:t>发展</w:t>
      </w:r>
      <w:bookmarkEnd w:id="171"/>
      <w:bookmarkEnd w:id="172"/>
    </w:p>
    <w:p w14:paraId="370068C1">
      <w:pPr>
        <w:ind w:firstLine="640"/>
      </w:pPr>
      <w:r>
        <w:rPr>
          <w:rFonts w:hint="eastAsia"/>
        </w:rPr>
        <w:t>落实京津冀协同发展战略，主动融入京津冀世界级城市群，高水平推进廊坊北三县与北京通州区一体化高质量发展，加强与周边县（市、区）协同联动，统筹区域协同重点项目、重大设施布局，切实推进区域协同发展。</w:t>
      </w:r>
    </w:p>
    <w:p w14:paraId="25BF97EB">
      <w:pPr>
        <w:pStyle w:val="3"/>
        <w:spacing w:before="435" w:after="435"/>
      </w:pPr>
      <w:bookmarkStart w:id="173" w:name="_Toc157528339"/>
      <w:bookmarkStart w:id="174" w:name="_Toc3892"/>
      <w:r>
        <w:rPr>
          <w:rFonts w:hint="eastAsia"/>
        </w:rPr>
        <w:t>落实廊坊北三县与北京通州区一体化高质量发展要求</w:t>
      </w:r>
      <w:bookmarkEnd w:id="173"/>
      <w:bookmarkEnd w:id="174"/>
    </w:p>
    <w:p w14:paraId="4233EA1D">
      <w:pPr>
        <w:pStyle w:val="4"/>
      </w:pPr>
      <w:r>
        <w:rPr>
          <w:rFonts w:hint="eastAsia"/>
        </w:rPr>
        <w:t>推进区域产业协同</w:t>
      </w:r>
    </w:p>
    <w:p w14:paraId="5CA928E9">
      <w:pPr>
        <w:ind w:firstLine="640"/>
      </w:pPr>
      <w:r>
        <w:rPr>
          <w:rFonts w:hint="eastAsia"/>
        </w:rPr>
        <w:t>密切产业发展协同协作。重点支持数字产业、文化产业、休闲康养等新型服务经济，改造升级食品加工、家具制造等传统优势产业空间需求；完善产业协同政策，研究制定差异化的新增产业禁止和限制目录。</w:t>
      </w:r>
    </w:p>
    <w:p w14:paraId="60934C55">
      <w:pPr>
        <w:pStyle w:val="4"/>
      </w:pPr>
      <w:r>
        <w:rPr>
          <w:rFonts w:hint="eastAsia"/>
        </w:rPr>
        <w:t>推进区域生态景观共治共赏</w:t>
      </w:r>
    </w:p>
    <w:p w14:paraId="0DE442FB">
      <w:pPr>
        <w:ind w:firstLine="640"/>
      </w:pPr>
      <w:r>
        <w:rPr>
          <w:rFonts w:hint="eastAsia"/>
        </w:rPr>
        <w:t>建立统筹协调机制，实现生态建设协同发展，推动生态景观与通州区紧密衔接，助力首都东部地区生态保护带建设。重点加强交界地区生态建设，保障区域结构性的生态、通风和迁徙廊道。推进大尺度生态绿洲和北运河生态廊道建设。</w:t>
      </w:r>
    </w:p>
    <w:p w14:paraId="2069F99E">
      <w:pPr>
        <w:pStyle w:val="4"/>
      </w:pPr>
      <w:r>
        <w:rPr>
          <w:rFonts w:hint="eastAsia"/>
        </w:rPr>
        <w:t>推进区域公共服务共建共享</w:t>
      </w:r>
    </w:p>
    <w:p w14:paraId="1C99F532">
      <w:pPr>
        <w:ind w:firstLine="640"/>
      </w:pPr>
      <w:r>
        <w:rPr>
          <w:rFonts w:hint="eastAsia"/>
        </w:rPr>
        <w:t>推进跨界医疗卫生协同合作。推进医疗设施共建共享，通过机构合作、设置分院等方式，承接北京优质医疗资源纵深布局。</w:t>
      </w:r>
    </w:p>
    <w:p w14:paraId="59604DFD">
      <w:pPr>
        <w:ind w:firstLine="640"/>
      </w:pPr>
      <w:r>
        <w:rPr>
          <w:rFonts w:hint="eastAsia"/>
        </w:rPr>
        <w:t>协同共建区域养老示范基地。依托大爱城建立区域养老示范基地，应对北京日益增加的健康养老需求，建设医疗卫生与养老相结合的服务设施，全面提升在健康养老领域服务北京市及京津冀地区的能力。</w:t>
      </w:r>
    </w:p>
    <w:p w14:paraId="5E9CC00B">
      <w:pPr>
        <w:ind w:firstLine="640"/>
      </w:pPr>
      <w:r>
        <w:rPr>
          <w:rFonts w:hint="eastAsia"/>
        </w:rPr>
        <w:t>推进区域文化体育事业合作。提高设施利用效率，避免重复建设，共同推动文体事业的高质量发展。积极争取与北京城市副中心共建共享大型文化设施、体育设施，共同促进地区间的文化活动交流，共同承办和推进重大体育赛事活动。</w:t>
      </w:r>
    </w:p>
    <w:p w14:paraId="3E805DBB">
      <w:pPr>
        <w:pStyle w:val="4"/>
      </w:pPr>
      <w:r>
        <w:rPr>
          <w:rFonts w:hint="eastAsia"/>
        </w:rPr>
        <w:t>推进区域基础设施协同共建</w:t>
      </w:r>
    </w:p>
    <w:p w14:paraId="182F7EF8">
      <w:pPr>
        <w:ind w:firstLine="640"/>
      </w:pPr>
      <w:r>
        <w:rPr>
          <w:rStyle w:val="69"/>
          <w:rFonts w:hint="eastAsia"/>
        </w:rPr>
        <w:t>落实流域综合治理要求。</w:t>
      </w:r>
      <w:r>
        <w:rPr>
          <w:rFonts w:hint="eastAsia"/>
        </w:rPr>
        <w:t>开展北运河、潮白河、青龙湾河两岸生态环境修复，推进上下游污染协同治理，提标改造污水处理设施，统一排放标准。推进区域重大基础设施廊道布局，支持燃气宝香西线建设，推进区域高压电力廊道建设，支持区域电力设施布局，预留天津淡化海水进京通道。</w:t>
      </w:r>
    </w:p>
    <w:p w14:paraId="0B2732A4">
      <w:pPr>
        <w:pStyle w:val="4"/>
      </w:pPr>
      <w:r>
        <w:rPr>
          <w:rFonts w:hint="eastAsia"/>
        </w:rPr>
        <w:t>加强与北京市通州区的交通互联互通</w:t>
      </w:r>
    </w:p>
    <w:p w14:paraId="79CE7DCA">
      <w:pPr>
        <w:ind w:firstLine="640"/>
      </w:pPr>
      <w:r>
        <w:rPr>
          <w:rFonts w:hint="eastAsia"/>
        </w:rPr>
        <w:t>推动交通基础设施互联互通。完善北运河旅游通航后续运营维护。推进以安石路为代表的交通互联互通，协调推动通武线安平至亦庄段（原平安大街—通房路）道路等级提升，保障京哈高速拓宽空间。</w:t>
      </w:r>
    </w:p>
    <w:p w14:paraId="01BCA1C7">
      <w:pPr>
        <w:pStyle w:val="3"/>
        <w:spacing w:before="435" w:after="435"/>
      </w:pPr>
      <w:bookmarkStart w:id="175" w:name="_Toc26807"/>
      <w:bookmarkStart w:id="176" w:name="_Toc157528340"/>
      <w:r>
        <w:rPr>
          <w:rFonts w:hint="eastAsia"/>
        </w:rPr>
        <w:t>加强与周边区县协同联动</w:t>
      </w:r>
      <w:bookmarkEnd w:id="175"/>
      <w:bookmarkEnd w:id="176"/>
    </w:p>
    <w:p w14:paraId="20D971EB">
      <w:pPr>
        <w:pStyle w:val="4"/>
      </w:pPr>
      <w:r>
        <w:rPr>
          <w:rFonts w:hint="eastAsia"/>
        </w:rPr>
        <w:t>加强与天津市宝坻区、武清区的协调布局</w:t>
      </w:r>
    </w:p>
    <w:p w14:paraId="69116CB5">
      <w:pPr>
        <w:ind w:firstLine="640"/>
      </w:pPr>
      <w:r>
        <w:rPr>
          <w:rFonts w:hint="eastAsia"/>
        </w:rPr>
        <w:t>重点强化与天津市宝坻区、武清区在交通设施、农业发展、生态环境等方面的对接与合作。交通和基础设施协同，重点加强京唐（京滨）城际铁路沿线维护，推进通宝路、平香线南延、双安路东延、倪李线西延、香武线等道路新建和改扩建，促进北运河全线通航；推进科技协同，激发区域发展新动能；建立生态环境保护协同机制，加强生态环境突发事件应急响应和密切协作。</w:t>
      </w:r>
    </w:p>
    <w:p w14:paraId="3C96F847">
      <w:pPr>
        <w:pStyle w:val="4"/>
      </w:pPr>
      <w:r>
        <w:rPr>
          <w:rFonts w:hint="eastAsia"/>
        </w:rPr>
        <w:t>加强与三河市、大厂回族自治县的协同布局</w:t>
      </w:r>
    </w:p>
    <w:p w14:paraId="395FCD5C">
      <w:pPr>
        <w:ind w:firstLine="640"/>
      </w:pPr>
      <w:r>
        <w:rPr>
          <w:rFonts w:hint="eastAsia"/>
        </w:rPr>
        <w:t>合理分工、统筹规划，最终实现北三县与北京的一体化发展。香河应充分发挥“第一城”的品牌优势、家具城的特色优势和水环境的生态优势，努力建成区域休闲商务、生态宜居的首选之地。融入区域整体发展格局，</w:t>
      </w:r>
      <w:bookmarkStart w:id="177" w:name="_Hlk156404009"/>
      <w:r>
        <w:rPr>
          <w:rFonts w:hint="eastAsia"/>
        </w:rPr>
        <w:t>不断加强与三河市、大厂回族自治县在基础设施、环境保护、产业发展等方面的协调发展。</w:t>
      </w:r>
      <w:bookmarkEnd w:id="177"/>
      <w:r>
        <w:rPr>
          <w:rFonts w:hint="eastAsia"/>
        </w:rPr>
        <w:t>强化北三县内部交通道路网络及轨道设施对接，协调环北京城际联络线选线；统筹推进陕京燃气四线、区域电力廊道等重大基础设施布局。</w:t>
      </w:r>
    </w:p>
    <w:p w14:paraId="2B56094F">
      <w:pPr>
        <w:ind w:firstLine="640"/>
        <w:sectPr>
          <w:pgSz w:w="11906" w:h="16838"/>
          <w:pgMar w:top="1440" w:right="1800" w:bottom="1440" w:left="1800" w:header="851" w:footer="992" w:gutter="0"/>
          <w:cols w:space="425" w:num="1"/>
          <w:docGrid w:type="lines" w:linePitch="435" w:charSpace="0"/>
        </w:sectPr>
      </w:pPr>
    </w:p>
    <w:p w14:paraId="1EAFD433">
      <w:pPr>
        <w:pStyle w:val="2"/>
        <w:spacing w:before="1522" w:after="652"/>
        <w:rPr>
          <w:rFonts w:hint="eastAsia"/>
        </w:rPr>
      </w:pPr>
      <w:bookmarkStart w:id="178" w:name="_Toc157528341"/>
      <w:bookmarkStart w:id="179" w:name="_Toc29706"/>
      <w:r>
        <w:rPr>
          <w:rFonts w:hint="eastAsia"/>
        </w:rPr>
        <w:t>优化农业发展空间布局</w:t>
      </w:r>
      <w:bookmarkEnd w:id="178"/>
      <w:bookmarkEnd w:id="179"/>
    </w:p>
    <w:p w14:paraId="5A6C5A5A">
      <w:pPr>
        <w:ind w:firstLine="640"/>
      </w:pPr>
      <w:r>
        <w:rPr>
          <w:rFonts w:hint="eastAsia"/>
        </w:rPr>
        <w:t>落实国家粮食安全战略，坚持最严格的耕地保护制度，遏制耕地“非农化”，防止耕地</w:t>
      </w:r>
      <w:bookmarkStart w:id="180" w:name="_Hlk137673651"/>
      <w:r>
        <w:rPr>
          <w:rFonts w:hint="eastAsia"/>
        </w:rPr>
        <w:t>“非粮化”</w:t>
      </w:r>
      <w:bookmarkEnd w:id="180"/>
      <w:r>
        <w:rPr>
          <w:rFonts w:hint="eastAsia"/>
        </w:rPr>
        <w:t>。发挥生态绿洲、南部平原耕地集中连片特色优势，夯实农业生产基础，提升农业生产特色。推进农村土地综合整治，为推进乡村振兴提供空间支撑。</w:t>
      </w:r>
    </w:p>
    <w:p w14:paraId="09D326E2">
      <w:pPr>
        <w:pStyle w:val="3"/>
        <w:spacing w:before="435" w:after="435"/>
      </w:pPr>
      <w:bookmarkStart w:id="181" w:name="_Toc11306"/>
      <w:bookmarkStart w:id="182" w:name="_Toc157528342"/>
      <w:r>
        <w:rPr>
          <w:rFonts w:hint="eastAsia"/>
        </w:rPr>
        <w:t>实施耕地“三位一体”保护</w:t>
      </w:r>
      <w:bookmarkEnd w:id="181"/>
      <w:bookmarkEnd w:id="182"/>
    </w:p>
    <w:p w14:paraId="04876D11">
      <w:pPr>
        <w:pStyle w:val="4"/>
      </w:pPr>
      <w:r>
        <w:rPr>
          <w:rFonts w:hint="eastAsia"/>
        </w:rPr>
        <w:t>稳定优质耕地资源布局</w:t>
      </w:r>
    </w:p>
    <w:p w14:paraId="5A6FEB28">
      <w:pPr>
        <w:ind w:firstLine="640"/>
      </w:pPr>
      <w:r>
        <w:rPr>
          <w:rFonts w:hint="eastAsia"/>
        </w:rPr>
        <w:t>严格落实耕地保护任务，将耕地和永久基本农田上图入库、带位置下达，作为规划期内必须守住的保护红线任务。压实耕地保护主体责任，对耕地保护责任目标完成情况定期考核，实行耕地保护党政同责，终身追责。</w:t>
      </w:r>
    </w:p>
    <w:p w14:paraId="129D5066">
      <w:pPr>
        <w:pStyle w:val="4"/>
      </w:pPr>
      <w:r>
        <w:rPr>
          <w:rFonts w:hint="eastAsia"/>
        </w:rPr>
        <w:t>严格耕地占补平衡</w:t>
      </w:r>
    </w:p>
    <w:p w14:paraId="38221DFD">
      <w:pPr>
        <w:ind w:firstLine="640"/>
      </w:pPr>
      <w:r>
        <w:rPr>
          <w:rFonts w:hint="eastAsia"/>
        </w:rPr>
        <w:t>发掘补充耕地资源，重点推进农村土地综合整治和县域废弃地、搬迁撤并类村庄复垦。补充耕地重点区域主要分布于五百户镇、刘宋镇、安头屯镇、钱旺镇、渠口镇等区域。</w:t>
      </w:r>
    </w:p>
    <w:p w14:paraId="0FE550F3">
      <w:pPr>
        <w:ind w:firstLine="640"/>
      </w:pPr>
      <w:r>
        <w:rPr>
          <w:rFonts w:hint="eastAsia"/>
        </w:rPr>
        <w:t>各类非农建设选址布局尽量不占或少占耕地，确需占用的，必须做到先补后占、占优补优，补充的耕地数量相等、质量相当、产能不降，严禁占优补劣。严格落实耕地占补平衡制度。</w:t>
      </w:r>
    </w:p>
    <w:p w14:paraId="6B5F2C2D">
      <w:pPr>
        <w:pStyle w:val="4"/>
      </w:pPr>
      <w:r>
        <w:rPr>
          <w:rFonts w:hint="eastAsia"/>
        </w:rPr>
        <w:t>实施耕地进出平衡</w:t>
      </w:r>
    </w:p>
    <w:p w14:paraId="3D2EB980">
      <w:pPr>
        <w:ind w:firstLine="640"/>
      </w:pPr>
      <w:bookmarkStart w:id="183" w:name="_Hlk157519158"/>
      <w:r>
        <w:rPr>
          <w:rFonts w:hint="eastAsia"/>
        </w:rPr>
        <w:t>实施耕地用途管制，严格控制耕地转为林地、园地等其他农用地。确需转为其他农用地的，严格落实年度耕地进出平衡</w:t>
      </w:r>
      <w:bookmarkEnd w:id="183"/>
      <w:r>
        <w:rPr>
          <w:rFonts w:hint="eastAsia"/>
        </w:rPr>
        <w:t>。</w:t>
      </w:r>
    </w:p>
    <w:p w14:paraId="448F46C8">
      <w:pPr>
        <w:pStyle w:val="4"/>
      </w:pPr>
      <w:r>
        <w:rPr>
          <w:rFonts w:hint="eastAsia"/>
        </w:rPr>
        <w:t>加强耕地用途管制</w:t>
      </w:r>
    </w:p>
    <w:p w14:paraId="479B33FB">
      <w:pPr>
        <w:ind w:firstLine="640"/>
      </w:pPr>
      <w:r>
        <w:rPr>
          <w:rFonts w:hint="eastAsia"/>
        </w:rPr>
        <w:t>耕地主要用于粮食和棉、油、糖、蔬菜等农产品及饲料饲草生产，永久基本农田重点用于粮食生产，高标准农田原则上全部用于粮食生产。</w:t>
      </w:r>
    </w:p>
    <w:p w14:paraId="28260F68">
      <w:pPr>
        <w:pStyle w:val="102"/>
      </w:pPr>
      <w:r>
        <w:rPr>
          <w:rFonts w:hint="eastAsia"/>
        </w:rPr>
        <w:t>禁止占用耕地建窑、建坟或擅自在耕地上建房、挖砂、采石、采矿、取土等；禁止任何单位和个人闲置、荒芜耕地；不得违规超标准在铁路、公路等用地红线外，以及河渠两侧、水库周边占用一般耕地建设绿化带，未经批准不得占用一般耕地实施国土绿化。</w:t>
      </w:r>
    </w:p>
    <w:p w14:paraId="1939FFD4">
      <w:pPr>
        <w:pStyle w:val="4"/>
      </w:pPr>
      <w:r>
        <w:rPr>
          <w:rFonts w:hint="eastAsia"/>
        </w:rPr>
        <w:t>切实提升耕地质量</w:t>
      </w:r>
    </w:p>
    <w:p w14:paraId="1D7B0B50">
      <w:pPr>
        <w:ind w:firstLine="640"/>
        <w:rPr>
          <w:rFonts w:asciiTheme="minorHAnsi" w:hAnsiTheme="minorHAnsi"/>
        </w:rPr>
      </w:pPr>
      <w:r>
        <w:rPr>
          <w:rFonts w:hint="eastAsia" w:ascii="仿宋_GB2312"/>
        </w:rPr>
        <w:t>推进高标准农田建设，加强耕地质量建设与保护，优先在粮食生产功能区和重要农产品保护区布局高标准农田，确保耕地生产力稳步提升</w:t>
      </w:r>
      <w:r>
        <w:rPr>
          <w:rFonts w:hint="eastAsia" w:asciiTheme="minorHAnsi" w:hAnsiTheme="minorHAnsi"/>
        </w:rPr>
        <w:t>。</w:t>
      </w:r>
    </w:p>
    <w:p w14:paraId="5729DFD9">
      <w:pPr>
        <w:pStyle w:val="4"/>
      </w:pPr>
      <w:r>
        <w:rPr>
          <w:rFonts w:hint="eastAsia"/>
        </w:rPr>
        <w:t>推进耕地整理开发和战略储备</w:t>
      </w:r>
    </w:p>
    <w:p w14:paraId="7C7D6437">
      <w:pPr>
        <w:ind w:firstLine="640"/>
      </w:pPr>
      <w:bookmarkStart w:id="184" w:name="_Hlk131519311"/>
      <w:r>
        <w:rPr>
          <w:rFonts w:hint="eastAsia"/>
        </w:rPr>
        <w:t>结合规划期内建设占用耕地情况，统筹落实耕地“占一补一”要求，以农田保护区为基础，选取与现状耕地集中连片区域储备耕地，以保护好生态为前提，统筹推进宜耕农用地整理和低效村庄、工矿废弃地、闲置和违法违规用地整治等，有效补充耕地。加强补充耕地项目管理，严格新增耕地核实认定，确保新增耕地数量真实、质量可靠。</w:t>
      </w:r>
    </w:p>
    <w:bookmarkEnd w:id="184"/>
    <w:p w14:paraId="717A90C2">
      <w:pPr>
        <w:pStyle w:val="3"/>
        <w:spacing w:before="435" w:after="435"/>
      </w:pPr>
      <w:bookmarkStart w:id="185" w:name="_Toc157528343"/>
      <w:bookmarkStart w:id="186" w:name="_Toc20589"/>
      <w:r>
        <w:rPr>
          <w:rFonts w:hint="eastAsia"/>
        </w:rPr>
        <w:t>优化农业生产布局</w:t>
      </w:r>
      <w:bookmarkEnd w:id="185"/>
      <w:bookmarkEnd w:id="186"/>
    </w:p>
    <w:p w14:paraId="3D5BD5D8">
      <w:pPr>
        <w:pStyle w:val="4"/>
      </w:pPr>
      <w:bookmarkStart w:id="187" w:name="_Hlk156559796"/>
      <w:r>
        <w:rPr>
          <w:rFonts w:hint="eastAsia"/>
        </w:rPr>
        <w:t>保护粮食生产功能区</w:t>
      </w:r>
    </w:p>
    <w:p w14:paraId="07278BE6">
      <w:pPr>
        <w:ind w:firstLine="640"/>
      </w:pPr>
      <w:r>
        <w:rPr>
          <w:rFonts w:hint="eastAsia"/>
        </w:rPr>
        <w:t>以永久基本农田为基础，优化粮食生产功能区布局，保护五百户、渠口、安头屯、刘宋、钳屯等镇的小麦、玉米粮食生产功能区，稳定提高粮食综合生产能力，确保粮食生产可持续发展。</w:t>
      </w:r>
    </w:p>
    <w:bookmarkEnd w:id="187"/>
    <w:p w14:paraId="06104935">
      <w:pPr>
        <w:pStyle w:val="4"/>
      </w:pPr>
      <w:r>
        <w:rPr>
          <w:rFonts w:hint="eastAsia"/>
        </w:rPr>
        <w:t>打造两个农业发展区</w:t>
      </w:r>
    </w:p>
    <w:p w14:paraId="39D52AEE">
      <w:pPr>
        <w:ind w:firstLine="640"/>
      </w:pPr>
      <w:r>
        <w:rPr>
          <w:rStyle w:val="69"/>
          <w:rFonts w:hint="eastAsia"/>
        </w:rPr>
        <w:t>环首都绿色农业示范区。</w:t>
      </w:r>
      <w:r>
        <w:rPr>
          <w:rFonts w:hint="eastAsia"/>
        </w:rPr>
        <w:t>范围包括安平镇、淑阳镇、蒋辛屯镇。发挥区位优势，围绕京津雄庞大的消费市场，持续发展蔬菜、林果、花卉苗木等特色农业，大力发展观光农业和现代农业，开发农业与第三产业结合的服务性功能，建设包含景观美化、生态保护、游憩服务等复合功能的特色农业空间。</w:t>
      </w:r>
    </w:p>
    <w:p w14:paraId="41DCBA89">
      <w:pPr>
        <w:ind w:firstLine="640"/>
      </w:pPr>
      <w:r>
        <w:rPr>
          <w:rStyle w:val="69"/>
          <w:rFonts w:hint="eastAsia"/>
        </w:rPr>
        <w:t>南部现代农业发展区。</w:t>
      </w:r>
      <w:r>
        <w:rPr>
          <w:rFonts w:hint="eastAsia"/>
        </w:rPr>
        <w:t>范围包括五百户镇、安头屯镇和刘宋镇。构建现代农业体系，创新经营体制机制，深化农村综合改革，积极导入北京农业科技院校和科研院所资源，建设一批优质、生态、安全的绿色农产品生产基地，积极发展绿色无公害蔬菜生产基地、花卉基地、特色水果基地，培育订单农业和循环农业，打造香河县现代农业集中发展的样板区和增长极，引领县域现代农业发展。保护以庆功台排干渠、中绣排干渠、香绣排干渠、商汪甸排干渠为主体的灌溉、排水系统，建立滨水绿道。</w:t>
      </w:r>
    </w:p>
    <w:p w14:paraId="4BECFDF3">
      <w:pPr>
        <w:pStyle w:val="4"/>
      </w:pPr>
      <w:r>
        <w:rPr>
          <w:rFonts w:hint="eastAsia"/>
        </w:rPr>
        <w:t>建设观光农业示范基地</w:t>
      </w:r>
    </w:p>
    <w:p w14:paraId="5DD7277F">
      <w:pPr>
        <w:ind w:firstLine="640"/>
      </w:pPr>
      <w:r>
        <w:rPr>
          <w:rFonts w:hint="eastAsia"/>
        </w:rPr>
        <w:t>五百户镇、钳屯镇依托农业高新技术园，建设农业科技示范基地；五百户镇、刘宋镇建设循环农业示范基地，实现种养结合和废弃物资源化利用；安平镇北部依托“第一城”和大运河通航工程，建设农业产业融合示范基地，探索创意农业、会展农业、休闲观光农业等多种产业融合；蒋辛屯镇在潮白河沿岸打造观光农业示范基地；钱旺镇、渠口镇和安头屯镇依托潮白河沿岸，建设休闲体验农业示范基地。</w:t>
      </w:r>
    </w:p>
    <w:p w14:paraId="22131346">
      <w:pPr>
        <w:pStyle w:val="3"/>
        <w:spacing w:before="435" w:after="435"/>
      </w:pPr>
      <w:bookmarkStart w:id="188" w:name="_Toc157528344"/>
      <w:bookmarkStart w:id="189" w:name="_Toc11503"/>
      <w:r>
        <w:rPr>
          <w:rFonts w:hint="eastAsia"/>
        </w:rPr>
        <w:t>加强农村土地综合整治</w:t>
      </w:r>
      <w:bookmarkEnd w:id="188"/>
      <w:bookmarkEnd w:id="189"/>
    </w:p>
    <w:p w14:paraId="50D719A1">
      <w:pPr>
        <w:pStyle w:val="4"/>
      </w:pPr>
      <w:r>
        <w:rPr>
          <w:rFonts w:hint="eastAsia"/>
        </w:rPr>
        <w:t>开展土地综合整治</w:t>
      </w:r>
    </w:p>
    <w:p w14:paraId="66FF0DFA">
      <w:pPr>
        <w:ind w:firstLine="640"/>
      </w:pPr>
      <w:r>
        <w:rPr>
          <w:rFonts w:hint="eastAsia"/>
        </w:rPr>
        <w:t>以各镇为基本实施单元，整体推进农用地整理、建设用地整理和乡村生态保护修复，优化生产、生活、生态空间格局，改善农村人居环境，助推乡村全面振兴。推进土地综合整治，开展农用地、建设用地整理和乡村生态保护修复，对全镇闲置、低效利用、生态退化及环境破坏的区域实施国土空间综合治理。</w:t>
      </w:r>
    </w:p>
    <w:p w14:paraId="552127CB">
      <w:pPr>
        <w:pStyle w:val="4"/>
      </w:pPr>
      <w:r>
        <w:rPr>
          <w:rFonts w:hint="eastAsia"/>
        </w:rPr>
        <w:t>推进农用地整治</w:t>
      </w:r>
    </w:p>
    <w:p w14:paraId="74008497">
      <w:pPr>
        <w:ind w:firstLine="640"/>
      </w:pPr>
      <w:r>
        <w:rPr>
          <w:rFonts w:hint="eastAsia"/>
        </w:rPr>
        <w:t>推进高标准农田建设，加强耕地质量建设与保护，优先在粮食生产功能区布局高标准农田，确保耕地生产力稳步提升。在已实施高标准农田建设项目的区域，结合自然资源部的安排部署，有序开展土地整治提质改造项目，主要分布在五百户镇、刘宋镇、安头屯镇、渠口镇、钱旺镇和钳屯镇，持续提升耕地质量和产能。</w:t>
      </w:r>
    </w:p>
    <w:p w14:paraId="52EB79A2">
      <w:pPr>
        <w:pStyle w:val="4"/>
      </w:pPr>
      <w:r>
        <w:rPr>
          <w:rFonts w:hint="eastAsia"/>
        </w:rPr>
        <w:t>推进农村建设用地整治</w:t>
      </w:r>
    </w:p>
    <w:p w14:paraId="2EA62188">
      <w:pPr>
        <w:ind w:firstLine="640"/>
      </w:pPr>
      <w:r>
        <w:rPr>
          <w:rFonts w:hint="eastAsia"/>
        </w:rPr>
        <w:t>重点推进五百户镇、刘宋镇、安头屯镇、渠口镇、钱旺镇和钳屯镇搬迁撤并村庄的土地复垦补充耕地进程，在土地平整、灌溉与排水、客土回填、土壤培肥、田间道路等方面强化工程设计与实施，保障补充耕地的质量。</w:t>
      </w:r>
    </w:p>
    <w:p w14:paraId="3661248A">
      <w:pPr>
        <w:ind w:firstLine="640"/>
      </w:pPr>
      <w:r>
        <w:rPr>
          <w:rFonts w:hint="eastAsia"/>
        </w:rPr>
        <w:t>探索“减量化”背景下的乡村振兴实施策略，分阶段落实乡村居民点整治，推进乡村工业用地整治，逐步推进村庄建设用地指标向城镇转化，引导退出土地用于耕地复垦、国土绿化和水域湿地修复等工程。推进农村宅基地整理，引导人口向中心城区和中心镇集中。逐步建设中心村及特色村，对搬迁后旧村址的整治和退宅还耕、还绿。</w:t>
      </w:r>
    </w:p>
    <w:p w14:paraId="47C39C92">
      <w:pPr>
        <w:ind w:firstLine="640"/>
        <w:sectPr>
          <w:pgSz w:w="11906" w:h="16838"/>
          <w:pgMar w:top="1440" w:right="1800" w:bottom="1440" w:left="1800" w:header="851" w:footer="992" w:gutter="0"/>
          <w:cols w:space="425" w:num="1"/>
          <w:docGrid w:type="lines" w:linePitch="435" w:charSpace="0"/>
        </w:sectPr>
      </w:pPr>
    </w:p>
    <w:p w14:paraId="365A7018">
      <w:pPr>
        <w:pStyle w:val="2"/>
        <w:spacing w:before="1522" w:after="652"/>
        <w:rPr>
          <w:rFonts w:hint="eastAsia"/>
        </w:rPr>
      </w:pPr>
      <w:bookmarkStart w:id="190" w:name="_Toc157528345"/>
      <w:bookmarkStart w:id="191" w:name="_Toc28156"/>
      <w:r>
        <w:rPr>
          <w:rFonts w:hint="eastAsia"/>
        </w:rPr>
        <w:t>强化生态空间保护利用</w:t>
      </w:r>
      <w:bookmarkEnd w:id="190"/>
      <w:bookmarkEnd w:id="191"/>
    </w:p>
    <w:p w14:paraId="468B2781">
      <w:pPr>
        <w:ind w:firstLine="640"/>
        <w:rPr>
          <w:szCs w:val="32"/>
        </w:rPr>
      </w:pPr>
      <w:r>
        <w:rPr>
          <w:rFonts w:hint="eastAsia" w:ascii="仿宋_GB2312"/>
        </w:rPr>
        <w:t>践行习近平生态文明思想，坚持保护优先、绿色发展，统筹各类自然资源要素，建立自然保护地体系，保护生物多样性，推进生态修复，提升生态系统稳定性和服务能力，促进人与自然和谐共生。</w:t>
      </w:r>
    </w:p>
    <w:p w14:paraId="63775115">
      <w:pPr>
        <w:pStyle w:val="3"/>
        <w:spacing w:before="435" w:after="435"/>
      </w:pPr>
      <w:bookmarkStart w:id="192" w:name="_Toc157528346"/>
      <w:bookmarkStart w:id="193" w:name="_Toc20429"/>
      <w:r>
        <w:rPr>
          <w:rFonts w:hint="eastAsia"/>
        </w:rPr>
        <w:t>提升生态系统功能</w:t>
      </w:r>
      <w:bookmarkEnd w:id="192"/>
      <w:bookmarkEnd w:id="193"/>
    </w:p>
    <w:p w14:paraId="69AA94F2">
      <w:pPr>
        <w:pStyle w:val="4"/>
      </w:pPr>
      <w:r>
        <w:rPr>
          <w:rFonts w:hint="eastAsia"/>
        </w:rPr>
        <w:t>落实自然保护地体系</w:t>
      </w:r>
    </w:p>
    <w:p w14:paraId="5020F708">
      <w:pPr>
        <w:ind w:firstLine="640"/>
      </w:pPr>
      <w:r>
        <w:rPr>
          <w:rFonts w:hint="eastAsia"/>
        </w:rPr>
        <w:t>落实就地保护，将整合优化后的河北香河潮白河大运河国家湿地公园纳入自然保护地体系。提升自然保护地质量，统筹生态廊道建设、重要栖息地恢复和废弃地修复，丰富自然保护地生物多样性。分类分级建立建设项目准入清单和负面清单，建立生态评估和预警机制。</w:t>
      </w:r>
    </w:p>
    <w:p w14:paraId="055FA3D2">
      <w:pPr>
        <w:pStyle w:val="4"/>
      </w:pPr>
      <w:r>
        <w:rPr>
          <w:rFonts w:hint="eastAsia"/>
        </w:rPr>
        <w:t>保护生物迁徙廊道</w:t>
      </w:r>
    </w:p>
    <w:p w14:paraId="1BB1D60F">
      <w:pPr>
        <w:ind w:firstLine="640"/>
      </w:pPr>
      <w:r>
        <w:rPr>
          <w:rFonts w:hint="eastAsia"/>
        </w:rPr>
        <w:t>加强东亚—澳大利西亚候鸟迁徙通道保护。连接生物栖息地和其他生态空间的重要纽带，增强生态网络功能。结合潮白河、北运河等重要河流沿线生态修复，为鸟类提供遮蔽、栖息场所和迁飞通道，严格管控重要栖息地和迁飞节点周边空间。分级构建生物迁徙廊道。</w:t>
      </w:r>
    </w:p>
    <w:p w14:paraId="106DC35C">
      <w:pPr>
        <w:pStyle w:val="4"/>
      </w:pPr>
      <w:r>
        <w:rPr>
          <w:rFonts w:hint="eastAsia"/>
        </w:rPr>
        <w:t>增强水资源刚性约束</w:t>
      </w:r>
    </w:p>
    <w:p w14:paraId="5DEC65F4">
      <w:pPr>
        <w:ind w:firstLine="640"/>
      </w:pPr>
      <w:r>
        <w:rPr>
          <w:rFonts w:hint="eastAsia"/>
        </w:rPr>
        <w:t>坚持以水定城、以水定地、以水定人、以水定产，综合考虑水资源、水生态、水环境，合理构建适水型发展格局，优化全县人口、耕地、城镇和产业布局。严格实行水资源消耗总量和强度双控，有序引导人口产业集聚与城镇水资源承载能力相匹配，保障国家重大战略实施和省、市、县确定的重点发展地区用水需要，严控超载地区人口和高耗水产业规模。</w:t>
      </w:r>
    </w:p>
    <w:p w14:paraId="5110310F">
      <w:pPr>
        <w:pStyle w:val="4"/>
      </w:pPr>
      <w:r>
        <w:rPr>
          <w:rFonts w:hint="eastAsia"/>
        </w:rPr>
        <w:t>提升水资源利用效率</w:t>
      </w:r>
    </w:p>
    <w:p w14:paraId="7536EA1B">
      <w:pPr>
        <w:ind w:firstLine="640"/>
      </w:pPr>
      <w:r>
        <w:rPr>
          <w:rFonts w:hint="eastAsia"/>
        </w:rPr>
        <w:t>促进全方位节水。在农田灌溉面积不减少的基础上，全面推进农业节水，调整农业种植结构，推进高效节水灌溉。提升城市综合节水能力，推进生态环境、市政杂用优先使用再生水、雨洪水。强化农村、园林绿地、城乡结合部地区用水节水规范化、标准化、精细化管理。提高工农业节水水平，适度提升农田灌溉系数。</w:t>
      </w:r>
    </w:p>
    <w:p w14:paraId="74586D73">
      <w:pPr>
        <w:pStyle w:val="4"/>
      </w:pPr>
      <w:r>
        <w:rPr>
          <w:rFonts w:hint="eastAsia"/>
        </w:rPr>
        <w:t>加强水源地保护</w:t>
      </w:r>
    </w:p>
    <w:p w14:paraId="7F6BC3E4">
      <w:pPr>
        <w:ind w:firstLine="640"/>
      </w:pPr>
      <w:r>
        <w:rPr>
          <w:rFonts w:hint="eastAsia"/>
        </w:rPr>
        <w:t>城镇建设用地范围内水源地周边严格控制高强度、高密度开发，区内严禁设置排放有毒、有害污染的企业，水源涵养区内水源井应布置在公园、绿地内。</w:t>
      </w:r>
    </w:p>
    <w:p w14:paraId="56C00FF5">
      <w:pPr>
        <w:pStyle w:val="4"/>
      </w:pPr>
      <w:r>
        <w:rPr>
          <w:rFonts w:hint="eastAsia"/>
        </w:rPr>
        <w:t>推进地下水超采治理</w:t>
      </w:r>
    </w:p>
    <w:p w14:paraId="2131177A">
      <w:pPr>
        <w:ind w:firstLine="640"/>
      </w:pPr>
      <w:r>
        <w:rPr>
          <w:rFonts w:hint="eastAsia"/>
        </w:rPr>
        <w:t>严控地下水开采。充分考虑各地区、各行业用水需求和水资源配置能力，统筹地下水超采综合治理总体要求，逐年分解地下水开采总量红线控制指标。</w:t>
      </w:r>
    </w:p>
    <w:p w14:paraId="075F68D3">
      <w:pPr>
        <w:ind w:firstLine="640"/>
      </w:pPr>
      <w:r>
        <w:rPr>
          <w:rFonts w:hint="eastAsia"/>
        </w:rPr>
        <w:t>推动地表水源置换。统筹生活、生产和生态用水需求，优化配置地表水资源，落实南水北调东线工程，配套布局地表水厂，推动生产生活水源置换。</w:t>
      </w:r>
    </w:p>
    <w:p w14:paraId="72452404">
      <w:pPr>
        <w:pStyle w:val="3"/>
        <w:spacing w:before="435" w:after="435"/>
      </w:pPr>
      <w:bookmarkStart w:id="194" w:name="_Toc157528347"/>
      <w:bookmarkStart w:id="195" w:name="_Toc350"/>
      <w:r>
        <w:rPr>
          <w:rFonts w:hint="eastAsia"/>
        </w:rPr>
        <w:t>推进系统性生态修复</w:t>
      </w:r>
      <w:bookmarkEnd w:id="194"/>
      <w:bookmarkEnd w:id="195"/>
    </w:p>
    <w:p w14:paraId="6183A496">
      <w:pPr>
        <w:pStyle w:val="4"/>
      </w:pPr>
      <w:r>
        <w:rPr>
          <w:rFonts w:hint="eastAsia"/>
        </w:rPr>
        <w:t>推进河道生态修复整治</w:t>
      </w:r>
    </w:p>
    <w:p w14:paraId="072AD996">
      <w:pPr>
        <w:ind w:firstLine="640"/>
      </w:pPr>
      <w:r>
        <w:rPr>
          <w:rFonts w:hint="eastAsia"/>
        </w:rPr>
        <w:t>以北运河、潮白河为重点，通过实施清淤疏浚、滨岸带建设、水系连通、河流生态栖息地修复等措施，优化河道两岸生态景观化建设，推进河道生态化治理。支持申请创建潮白河国家森林公园。对于北运河、潮白河流域水质较好的河流，在确保防洪安全基础上，采用“近自然河道治理模式”，进行自然恢复和修复，净化和保护河道原生生态系统，保留河道原有自然岸线。对于轻度污染河流，采用“引水冲污/换水稀释模式”，在确保防洪安全基础上，加快水体交换，缩短污染物滞留时间，提高水体自净功能，改善河道水质，逐步恢复河流水生态健康。</w:t>
      </w:r>
    </w:p>
    <w:p w14:paraId="6546819C">
      <w:pPr>
        <w:pStyle w:val="4"/>
      </w:pPr>
      <w:r>
        <w:rPr>
          <w:rFonts w:hint="eastAsia"/>
        </w:rPr>
        <w:t>完善造林绿化空间</w:t>
      </w:r>
    </w:p>
    <w:p w14:paraId="5CE72898">
      <w:pPr>
        <w:ind w:firstLine="640"/>
      </w:pPr>
      <w:r>
        <w:rPr>
          <w:rFonts w:hint="eastAsia"/>
        </w:rPr>
        <w:t>优化林地资源布局。新增造林绿化空间主要分布于中心城区、蒋辛屯镇、五百户镇、刘宋镇。以现状林地为基础，适度推进河流廊道和交通廊道生态建设。保障重点生态用地。</w:t>
      </w:r>
    </w:p>
    <w:p w14:paraId="2B0D30C7">
      <w:pPr>
        <w:pStyle w:val="4"/>
      </w:pPr>
      <w:r>
        <w:rPr>
          <w:rFonts w:hint="eastAsia"/>
        </w:rPr>
        <w:t>推进湿地生态修复</w:t>
      </w:r>
    </w:p>
    <w:p w14:paraId="341508CD">
      <w:pPr>
        <w:ind w:firstLine="640"/>
      </w:pPr>
      <w:r>
        <w:rPr>
          <w:rFonts w:hint="eastAsia"/>
        </w:rPr>
        <w:t>围绕河北香河潮白河大运河国家湿地公园，推进河流两岸湿地生态带系统治理，提升运河两侧水土保持能力。严控大运河沿线地下水开采，充分利用本地水源、非常规水源，多渠道配置补水，保障大运河主河道生态水量。实施沿线工业污染防治，控制沿线农业面源污染，实施污水处理厂升级改造。</w:t>
      </w:r>
    </w:p>
    <w:p w14:paraId="25FF7764">
      <w:pPr>
        <w:pStyle w:val="4"/>
      </w:pPr>
      <w:bookmarkStart w:id="196" w:name="_Hlk156586145"/>
      <w:r>
        <w:rPr>
          <w:rFonts w:hint="eastAsia"/>
        </w:rPr>
        <w:t>有效提升碳汇能力</w:t>
      </w:r>
    </w:p>
    <w:p w14:paraId="549405C7">
      <w:pPr>
        <w:ind w:firstLine="640"/>
      </w:pPr>
      <w:r>
        <w:rPr>
          <w:rFonts w:hint="eastAsia"/>
        </w:rPr>
        <w:t>以现有园地、林地、湿地、耕地等重要资源为绿色碳库，推动造林绿化和低效林改造、天然湿地恢复等生态保护修复工程实施，提升固碳能力。</w:t>
      </w:r>
    </w:p>
    <w:bookmarkEnd w:id="196"/>
    <w:p w14:paraId="4DAE83F3">
      <w:pPr>
        <w:ind w:firstLine="640"/>
        <w:sectPr>
          <w:pgSz w:w="11906" w:h="16838"/>
          <w:pgMar w:top="1440" w:right="1800" w:bottom="1440" w:left="1800" w:header="851" w:footer="992" w:gutter="0"/>
          <w:cols w:space="425" w:num="1"/>
          <w:docGrid w:type="lines" w:linePitch="435" w:charSpace="0"/>
        </w:sectPr>
      </w:pPr>
    </w:p>
    <w:p w14:paraId="3B08E741">
      <w:pPr>
        <w:pStyle w:val="2"/>
        <w:spacing w:before="1522" w:after="652"/>
        <w:rPr>
          <w:rFonts w:hint="eastAsia"/>
        </w:rPr>
      </w:pPr>
      <w:bookmarkStart w:id="197" w:name="_Toc21962"/>
      <w:bookmarkStart w:id="198" w:name="_Toc157528348"/>
      <w:r>
        <w:rPr>
          <w:rFonts w:hint="eastAsia"/>
        </w:rPr>
        <w:t>提升城乡发展空间品质</w:t>
      </w:r>
      <w:bookmarkEnd w:id="197"/>
      <w:bookmarkEnd w:id="198"/>
    </w:p>
    <w:p w14:paraId="5F9C8A9E">
      <w:pPr>
        <w:ind w:firstLine="640"/>
        <w:rPr>
          <w:szCs w:val="32"/>
        </w:rPr>
      </w:pPr>
      <w:r>
        <w:rPr>
          <w:rFonts w:ascii="仿宋_GB2312"/>
        </w:rPr>
        <w:t>满足人民对</w:t>
      </w:r>
      <w:r>
        <w:rPr>
          <w:rFonts w:hint="eastAsia" w:ascii="仿宋_GB2312"/>
        </w:rPr>
        <w:t>美好</w:t>
      </w:r>
      <w:r>
        <w:rPr>
          <w:rFonts w:ascii="仿宋_GB2312"/>
        </w:rPr>
        <w:t>生活的向往，</w:t>
      </w:r>
      <w:r>
        <w:rPr>
          <w:rFonts w:hint="eastAsia" w:ascii="仿宋_GB2312"/>
        </w:rPr>
        <w:t>优化空间布局，加强底线管控，推动产城融合、职住平衡，提升城市连通效率，强化</w:t>
      </w:r>
      <w:r>
        <w:rPr>
          <w:rFonts w:ascii="仿宋_GB2312"/>
        </w:rPr>
        <w:t>城市承载能力</w:t>
      </w:r>
      <w:r>
        <w:rPr>
          <w:rFonts w:hint="eastAsia" w:ascii="仿宋_GB2312"/>
        </w:rPr>
        <w:t>，塑造特色风貌，提高中心城区集聚效应和辐射带动能力，打造生态宜居的现代化</w:t>
      </w:r>
      <w:r>
        <w:rPr>
          <w:rFonts w:hint="eastAsia"/>
          <w:szCs w:val="32"/>
        </w:rPr>
        <w:t>城市。</w:t>
      </w:r>
    </w:p>
    <w:p w14:paraId="137EBFB8">
      <w:pPr>
        <w:pStyle w:val="3"/>
        <w:spacing w:before="435" w:after="435"/>
      </w:pPr>
      <w:bookmarkStart w:id="199" w:name="_Toc4764"/>
      <w:bookmarkStart w:id="200" w:name="_Toc157528349"/>
      <w:r>
        <w:rPr>
          <w:rFonts w:hint="eastAsia"/>
        </w:rPr>
        <w:t>推进城乡空间协调布局</w:t>
      </w:r>
      <w:bookmarkEnd w:id="199"/>
      <w:bookmarkEnd w:id="200"/>
    </w:p>
    <w:p w14:paraId="008DB40A">
      <w:pPr>
        <w:pStyle w:val="4"/>
      </w:pPr>
      <w:r>
        <w:rPr>
          <w:rFonts w:hint="eastAsia"/>
        </w:rPr>
        <w:t>构建五级镇村体系</w:t>
      </w:r>
    </w:p>
    <w:p w14:paraId="57408DF7">
      <w:pPr>
        <w:ind w:firstLine="640"/>
      </w:pPr>
      <w:r>
        <w:rPr>
          <w:rFonts w:hint="eastAsia"/>
        </w:rPr>
        <w:t>构建“县城—中心镇—一般镇—中心村—基层村”五级镇村体系。在推进城镇化的过程中，坚持节约集约、优化用地的基本原则，实现城乡整体协调发展。</w:t>
      </w:r>
    </w:p>
    <w:p w14:paraId="62932E9F">
      <w:pPr>
        <w:pStyle w:val="4"/>
      </w:pPr>
      <w:r>
        <w:rPr>
          <w:rFonts w:hint="eastAsia"/>
        </w:rPr>
        <w:t>完善城镇职能分工</w:t>
      </w:r>
    </w:p>
    <w:p w14:paraId="437072A9">
      <w:pPr>
        <w:ind w:firstLine="640"/>
      </w:pPr>
      <w:r>
        <w:rPr>
          <w:rFonts w:hint="eastAsia"/>
        </w:rPr>
        <w:t>安平镇是休闲商务、运河文化和生态宜居家园的重要发展载体。依托“第一城”和平安大街，重点发展休闲商务、商业等特色产业，建设安平公共服务中心。规划增加文化、体育、医院、绿地等公共设施和公共活动空间，进一步提高宜居水平。</w:t>
      </w:r>
    </w:p>
    <w:p w14:paraId="4BEBA29F">
      <w:pPr>
        <w:ind w:firstLine="640"/>
      </w:pPr>
      <w:r>
        <w:rPr>
          <w:rFonts w:hint="eastAsia"/>
        </w:rPr>
        <w:t>蒋辛屯镇是战略新兴产业基地、休闲观光农业基地。依托京哈高速公路、密涿高速公路和通武线，以香河经济技术开发区为载体，大力发展以清洁能源、装备制造和新型材料为主导战略新兴产业。</w:t>
      </w:r>
    </w:p>
    <w:p w14:paraId="29CA96D0">
      <w:pPr>
        <w:ind w:firstLine="640"/>
      </w:pPr>
      <w:r>
        <w:rPr>
          <w:rFonts w:hint="eastAsia"/>
        </w:rPr>
        <w:t>钱旺、渠口共建现代养老示范基地和</w:t>
      </w:r>
      <w:bookmarkStart w:id="288" w:name="_GoBack"/>
      <w:bookmarkEnd w:id="288"/>
      <w:r>
        <w:rPr>
          <w:rFonts w:hint="eastAsia"/>
        </w:rPr>
        <w:t>特色农业示范基地。重点发展绿色食品、康养休闲等产业，促进产业项目和城镇人口相向紧凑发展。</w:t>
      </w:r>
    </w:p>
    <w:p w14:paraId="5C08765D">
      <w:pPr>
        <w:ind w:firstLine="640"/>
      </w:pPr>
      <w:r>
        <w:rPr>
          <w:rFonts w:hint="eastAsia"/>
        </w:rPr>
        <w:t>安头屯、五百户、刘宋依托镇区，注重完善各类公共服务设施，提升服务保障能力。</w:t>
      </w:r>
    </w:p>
    <w:p w14:paraId="6D10C6A4">
      <w:pPr>
        <w:pStyle w:val="3"/>
        <w:spacing w:before="435" w:after="435"/>
      </w:pPr>
      <w:bookmarkStart w:id="201" w:name="_Toc157528350"/>
      <w:bookmarkStart w:id="202" w:name="_Toc3480"/>
      <w:r>
        <w:rPr>
          <w:rFonts w:hint="eastAsia"/>
        </w:rPr>
        <w:t>优化村庄布局</w:t>
      </w:r>
      <w:bookmarkEnd w:id="201"/>
      <w:bookmarkEnd w:id="202"/>
    </w:p>
    <w:p w14:paraId="37A1836E">
      <w:pPr>
        <w:pStyle w:val="4"/>
      </w:pPr>
      <w:bookmarkStart w:id="203" w:name="_Hlk131519505"/>
      <w:r>
        <w:rPr>
          <w:rFonts w:hint="eastAsia"/>
        </w:rPr>
        <w:t>分类推进农村居民点建设</w:t>
      </w:r>
    </w:p>
    <w:p w14:paraId="4A3BE48F">
      <w:pPr>
        <w:ind w:firstLine="640"/>
      </w:pPr>
      <w:r>
        <w:rPr>
          <w:rFonts w:hint="eastAsia"/>
        </w:rPr>
        <w:t>全县村庄共分成保留改善类、特色保护类、集聚提升类、城郊融合类和搬迁撤并类5类。根据乡村建设和产业发展实际需求，坚持节约集约，统筹村庄建设用地布局，科学确定新增建设空间，合理划定村庄建设边界。</w:t>
      </w:r>
    </w:p>
    <w:bookmarkEnd w:id="203"/>
    <w:p w14:paraId="368D7258">
      <w:pPr>
        <w:ind w:firstLine="640"/>
      </w:pPr>
      <w:r>
        <w:rPr>
          <w:rFonts w:hint="eastAsia"/>
        </w:rPr>
        <w:t>城郊融合类村庄。全部或大部分位于城镇开发边界的村庄，需纳入城市、镇规划统筹安排。对于现状建成区内的城中村，应按照城市建设的相关标准，稳妥推进“城中村”改造，采用“村改居”的模式，推动村庄向城镇社区转化，为居民提供城市型公共服务设施。对于现状建成区边界外、城市开发边界内的村庄，需要按照规划的建设时序安排，分批进行拆迁改造和功能置换。稳妥推动“城边村”“城郊村”向城区、中心镇迁并集中，引导村庄集中建设，形成城市新型社区。</w:t>
      </w:r>
    </w:p>
    <w:p w14:paraId="5D6DD0EC">
      <w:pPr>
        <w:ind w:firstLine="640"/>
      </w:pPr>
      <w:r>
        <w:rPr>
          <w:rFonts w:hint="eastAsia"/>
        </w:rPr>
        <w:t>集聚提升类村庄。推进人口规模较大、产业有一定基础村庄进行居民点整合，服务周边村庄。</w:t>
      </w:r>
    </w:p>
    <w:p w14:paraId="5B54CBCA">
      <w:pPr>
        <w:ind w:firstLine="640"/>
      </w:pPr>
      <w:r>
        <w:rPr>
          <w:rFonts w:hint="eastAsia"/>
        </w:rPr>
        <w:t>特色保护类村庄。主要为根据《北运河廊坊段旅游通航规划》和以万亩荷塘、景泰蓝等生态、文旅、文化产业确定的具有特色景观旅游发展潜力的村庄。统筹保护—开发—发展的关系，保持村庄格局和风貌的完整性，发展乡村旅游，形成特色资源保护与村庄发展良性互促。</w:t>
      </w:r>
    </w:p>
    <w:p w14:paraId="6B68651F">
      <w:pPr>
        <w:ind w:firstLine="640"/>
      </w:pPr>
      <w:r>
        <w:rPr>
          <w:rFonts w:hint="eastAsia"/>
        </w:rPr>
        <w:t>搬迁撤并类村庄。主要为潮白河行洪河道影响和地质灾害影响，严格控制村庄建设，不得以任何名义新增建设用地。</w:t>
      </w:r>
    </w:p>
    <w:p w14:paraId="02C76A7E">
      <w:pPr>
        <w:ind w:firstLine="640"/>
      </w:pPr>
      <w:r>
        <w:rPr>
          <w:rFonts w:hint="eastAsia"/>
        </w:rPr>
        <w:t>保留改善类村庄。以人居环境整治为主，重点提升村容村貌，统筹安排各项基础设施建设。严格控制该类村庄新增建设用地，有序引导向周边城镇、中心村集聚。</w:t>
      </w:r>
    </w:p>
    <w:p w14:paraId="1EFC3739">
      <w:pPr>
        <w:pStyle w:val="4"/>
      </w:pPr>
      <w:r>
        <w:rPr>
          <w:rFonts w:hint="eastAsia"/>
        </w:rPr>
        <w:t>推进农村“一二三产”融合发展</w:t>
      </w:r>
    </w:p>
    <w:p w14:paraId="4CDF3AFB">
      <w:pPr>
        <w:ind w:firstLine="640"/>
      </w:pPr>
      <w:r>
        <w:rPr>
          <w:rFonts w:hint="eastAsia"/>
        </w:rPr>
        <w:t>积极引导工业、服务业向中心城区集聚，促进现代农业、乡村旅游向规划布点村庄集聚，推进以第一产业为主体的一二三产业融合发展。通过“以产促城、以城兴产”促进产城融合，推进产业与城镇功能融合、空间整合。</w:t>
      </w:r>
    </w:p>
    <w:p w14:paraId="2AE68EA5">
      <w:pPr>
        <w:pStyle w:val="3"/>
        <w:spacing w:before="435" w:after="435"/>
      </w:pPr>
      <w:bookmarkStart w:id="204" w:name="_Toc157528351"/>
      <w:bookmarkStart w:id="205" w:name="_Toc10553"/>
      <w:r>
        <w:rPr>
          <w:rFonts w:hint="eastAsia"/>
        </w:rPr>
        <w:t>优化产业空间布局</w:t>
      </w:r>
      <w:bookmarkEnd w:id="204"/>
      <w:bookmarkEnd w:id="205"/>
    </w:p>
    <w:p w14:paraId="69FB1326">
      <w:pPr>
        <w:pStyle w:val="4"/>
      </w:pPr>
      <w:r>
        <w:rPr>
          <w:rFonts w:hint="eastAsia"/>
        </w:rPr>
        <w:t>保障重点产业发展空间</w:t>
      </w:r>
    </w:p>
    <w:p w14:paraId="3F72D1B1">
      <w:pPr>
        <w:ind w:firstLine="640"/>
      </w:pPr>
      <w:r>
        <w:rPr>
          <w:rFonts w:hint="eastAsia"/>
        </w:rPr>
        <w:t>重点支持香河经济技术开发区一区三园建设，联合打造香河产业承接平台，促进产业集群集约集中发展。智能制造产业园。重点支持新一代信息技术、高端服务、高端装备制造等产业项目用地需求，聚焦智慧家居、总部经济、商贸流通、机器人、3D打印、汽车电子、智慧物流等领域，打造智能产业高地。现代产业园，大力支持以清洁能源、装备制造和新型材料为主导战略新兴产业用地。逐步打造成为环首都地区具有影响力的河北省新兴产业重要聚集区。环保产业园。推进园区用地整理，提升工业用地使用效率，促进产业用地节约集约，支持高铁站前区建设，打造香河县对外门户。</w:t>
      </w:r>
    </w:p>
    <w:p w14:paraId="32E35529">
      <w:pPr>
        <w:pStyle w:val="4"/>
      </w:pPr>
      <w:bookmarkStart w:id="206" w:name="_Toc135491075"/>
      <w:bookmarkEnd w:id="206"/>
      <w:bookmarkStart w:id="207" w:name="_Toc135491076"/>
      <w:bookmarkEnd w:id="207"/>
      <w:r>
        <w:rPr>
          <w:rFonts w:hint="eastAsia"/>
        </w:rPr>
        <w:t>推进工业用地节约集约利用</w:t>
      </w:r>
    </w:p>
    <w:p w14:paraId="5646C1E9">
      <w:pPr>
        <w:ind w:firstLine="640"/>
      </w:pPr>
      <w:r>
        <w:rPr>
          <w:rFonts w:hint="eastAsia"/>
        </w:rPr>
        <w:t>科学有序划定工业用地控制线，稳定工业用地总量，明晰工业用地用途转换负面清单，加强工业用地供给保障。在城镇开发边界内，以省级以上开发区、重要创新发展平台、产业发展潜力储备空间为基础，集中连片布局工业用地，充分保障重大产业平台用地需求。限制规划工业用地调整为其他用途，尤其是不得调整为居住、商业等其他经营性用途；鼓励各类园区内低效工业用地更新提质，提高土地使用效率。</w:t>
      </w:r>
    </w:p>
    <w:p w14:paraId="7389F470">
      <w:pPr>
        <w:ind w:firstLine="640"/>
      </w:pPr>
      <w:r>
        <w:rPr>
          <w:rFonts w:hint="eastAsia"/>
        </w:rPr>
        <w:t>严控低效开发区新增建设用地，推进用地节约集约，盘活存量用地。加大园区存量用地盘活力度。全面提升省级开发区产业用地准入标准，鼓励建设标准厂房，推行“标准地”供应，鼓励利用地下空间，推进以长期租赁、先租后让、租让结合、弹性年期方式供应国有建设用地使用权。</w:t>
      </w:r>
    </w:p>
    <w:p w14:paraId="0E736301">
      <w:pPr>
        <w:pStyle w:val="3"/>
        <w:spacing w:before="435" w:after="435"/>
      </w:pPr>
      <w:bookmarkStart w:id="208" w:name="_Toc157528352"/>
      <w:bookmarkStart w:id="209" w:name="_Toc3526"/>
      <w:r>
        <w:rPr>
          <w:rFonts w:hint="eastAsia"/>
        </w:rPr>
        <w:t>提升城乡公共服务水平</w:t>
      </w:r>
      <w:bookmarkEnd w:id="208"/>
      <w:bookmarkEnd w:id="209"/>
    </w:p>
    <w:p w14:paraId="7BA9C9A5">
      <w:pPr>
        <w:pStyle w:val="4"/>
      </w:pPr>
      <w:r>
        <w:rPr>
          <w:rFonts w:hint="eastAsia"/>
        </w:rPr>
        <w:t>统筹城乡基本公共服务</w:t>
      </w:r>
    </w:p>
    <w:p w14:paraId="3BA9A631">
      <w:pPr>
        <w:ind w:firstLine="640"/>
      </w:pPr>
      <w:r>
        <w:rPr>
          <w:rFonts w:hint="eastAsia"/>
        </w:rPr>
        <w:t>统筹城乡公共服务设施建设，推进基本公共服务均等化，建立县—镇（街道）—行政村（社区）三级公共服务设施体系，形成总量适度、设施配套、功能完善、服务规范的公共服务设施网络。保障服务全年龄段的公共服务设施落位。应对人口结构变化和不同人群需求，构建基本公共服务保障体系，提升设施开放度和利用率，加快建设青年友好型城市，强化对老人、儿童、残障人士等重点人群基本服务保障。保障村庄公益性殡葬设施落地。</w:t>
      </w:r>
    </w:p>
    <w:p w14:paraId="76598B53">
      <w:pPr>
        <w:pStyle w:val="4"/>
      </w:pPr>
      <w:r>
        <w:rPr>
          <w:rFonts w:hint="eastAsia"/>
        </w:rPr>
        <w:t>构建城乡生活圈</w:t>
      </w:r>
    </w:p>
    <w:p w14:paraId="6442F413">
      <w:pPr>
        <w:ind w:firstLine="640"/>
      </w:pPr>
      <w:r>
        <w:rPr>
          <w:rFonts w:hint="eastAsia"/>
        </w:rPr>
        <w:t>落实上位要求，共建都市生活圈。加快融入一体化的区域公共服务体系，落实上位要求，做好北京公共服务资源向香河拓展的空间保障。</w:t>
      </w:r>
    </w:p>
    <w:p w14:paraId="779A5FBB">
      <w:pPr>
        <w:ind w:firstLine="640"/>
      </w:pPr>
      <w:r>
        <w:rPr>
          <w:rFonts w:hint="eastAsia"/>
        </w:rPr>
        <w:t>推进城市生活圈建设。中心城区落实上位要求配置市级公共服务设施，补齐短板完善县级公共服务设施，提升对全域的服务能力，推动城乡融合和公共服务均等化。</w:t>
      </w:r>
    </w:p>
    <w:p w14:paraId="7857792C">
      <w:pPr>
        <w:ind w:firstLine="640"/>
      </w:pPr>
      <w:r>
        <w:rPr>
          <w:rFonts w:hint="eastAsia"/>
        </w:rPr>
        <w:t>构建乡村生活圈。乡镇地区按照中心镇—一般镇—村三级优化基本公共服务设施配置，侧重保障基本公共服务，部分镇级公共服务设施可与村级公共服务设施联合设置。</w:t>
      </w:r>
    </w:p>
    <w:p w14:paraId="4ED09115">
      <w:pPr>
        <w:pStyle w:val="4"/>
      </w:pPr>
      <w:r>
        <w:rPr>
          <w:rFonts w:hint="eastAsia"/>
        </w:rPr>
        <w:t>优化教育设施布局</w:t>
      </w:r>
    </w:p>
    <w:p w14:paraId="325AB576">
      <w:pPr>
        <w:ind w:firstLine="640"/>
      </w:pPr>
      <w:r>
        <w:rPr>
          <w:rFonts w:hint="eastAsia"/>
        </w:rPr>
        <w:t>办好高中教育，均衡发展九年义务教育，完善学前教育，加快发展现代职业教育。强化教育设施布局优化及发展模式创新，推动初中向重点镇集中，高中和职业教育向县城和中心镇集中；大力推进中小学标准化建设和办学条件均等化。推动幼儿园标准化、规范化建设。</w:t>
      </w:r>
    </w:p>
    <w:p w14:paraId="5E2458F2">
      <w:pPr>
        <w:pStyle w:val="4"/>
      </w:pPr>
      <w:r>
        <w:rPr>
          <w:rFonts w:hint="eastAsia"/>
        </w:rPr>
        <w:t>完善医疗卫生设施布局</w:t>
      </w:r>
    </w:p>
    <w:p w14:paraId="33751CF3">
      <w:pPr>
        <w:ind w:firstLine="640"/>
      </w:pPr>
      <w:r>
        <w:rPr>
          <w:rFonts w:hint="eastAsia"/>
        </w:rPr>
        <w:t>健全以医院、基层医疗卫生机构、专业公共卫生机构等为主体，以失能（含失智）老年人、婴幼儿等特殊人群健康照护设施等新型服务机构为补充的医疗卫生服务体系，面向全人群，提供疾病预防、治疗、康复、健康促进等生命全周期、健康全过程服务。</w:t>
      </w:r>
    </w:p>
    <w:p w14:paraId="0838D3EB">
      <w:pPr>
        <w:ind w:firstLine="640"/>
      </w:pPr>
      <w:r>
        <w:rPr>
          <w:rFonts w:hint="eastAsia"/>
        </w:rPr>
        <w:t>统筹布局疾病预防控制、妇幼保健等专业公共卫生机构。鼓励发展独立设置机构、接续性服务机构等其他医疗卫生机构。积极应对人口老龄化，同步预留医养结合、托育、康复等医疗卫生机构发展空间，满足“一老一小”等重点人群健康需求。坚持属地原则，为县域内的市办和省办及以上医疗卫生机构发展建设预留发展空间。</w:t>
      </w:r>
    </w:p>
    <w:p w14:paraId="6B9C7BAF">
      <w:pPr>
        <w:pStyle w:val="4"/>
      </w:pPr>
      <w:r>
        <w:rPr>
          <w:rFonts w:hint="eastAsia"/>
        </w:rPr>
        <w:t>提升文化设施布局</w:t>
      </w:r>
    </w:p>
    <w:p w14:paraId="6D41EBB2">
      <w:pPr>
        <w:ind w:firstLine="640"/>
      </w:pPr>
      <w:r>
        <w:rPr>
          <w:rFonts w:hint="eastAsia"/>
        </w:rPr>
        <w:t>完善多层次的文化服务体系。中心城区保障博物馆、文化馆、图书馆、青少年活动中心、美术馆等文化设施用地，鼓励利用闲置资源提供公益性文化服务。</w:t>
      </w:r>
    </w:p>
    <w:p w14:paraId="14FC0713">
      <w:pPr>
        <w:pStyle w:val="4"/>
      </w:pPr>
      <w:r>
        <w:rPr>
          <w:rFonts w:hint="eastAsia"/>
        </w:rPr>
        <w:t>推进体育设施布局</w:t>
      </w:r>
    </w:p>
    <w:p w14:paraId="03872B0D">
      <w:pPr>
        <w:ind w:firstLine="640"/>
      </w:pPr>
      <w:r>
        <w:rPr>
          <w:rFonts w:hint="eastAsia"/>
        </w:rPr>
        <w:t>建设均衡普惠、便捷高效的全民健身服务体系。完善县—镇（街道）—行政村（社区）三级体育设施。盘活城市空闲土地、用好公益性建设用地、支持以租赁方式供地、倡导土地复合利用、探索利用符合条件的“四荒”土地和集体建设用地，充分挖掘存量建设用地和存量房产潜力，规划建设贴近社区、方便可达的全民健身场地设施。镇（街道）配置小型多功能运动（球类）场地、室外综合健身场地、室内多功能健身场馆等多功能健身设施，行政村（社区）配置室外健身广场、室内健身场地。</w:t>
      </w:r>
    </w:p>
    <w:p w14:paraId="40B6C987">
      <w:pPr>
        <w:pStyle w:val="4"/>
      </w:pPr>
      <w:r>
        <w:rPr>
          <w:rFonts w:hint="eastAsia"/>
        </w:rPr>
        <w:t>改善养老、福利设施布局</w:t>
      </w:r>
    </w:p>
    <w:p w14:paraId="3F5E16E3">
      <w:pPr>
        <w:ind w:firstLine="640"/>
      </w:pPr>
      <w:r>
        <w:rPr>
          <w:rFonts w:hint="eastAsia"/>
        </w:rPr>
        <w:t>完善区域养老设施服务，完善养老、助残、社会救助福利体系。统筹推进养老设施建设，构建居家社区机构相协调、医养康养相结合的养老服务体系，依托社区中心加快老年人日间照料中心和残疾人托养设施建设。补充社会福利设施、救助管理设施，扩大社会福利设施保障覆盖面。</w:t>
      </w:r>
    </w:p>
    <w:p w14:paraId="17A0C9F3">
      <w:pPr>
        <w:pStyle w:val="4"/>
      </w:pPr>
      <w:r>
        <w:rPr>
          <w:rFonts w:hint="eastAsia"/>
        </w:rPr>
        <w:t>完善殡葬设施布局</w:t>
      </w:r>
    </w:p>
    <w:p w14:paraId="0E702DB2">
      <w:pPr>
        <w:ind w:firstLine="640"/>
      </w:pPr>
      <w:r>
        <w:rPr>
          <w:rFonts w:hint="eastAsia"/>
        </w:rPr>
        <w:t>全面构建惠民保障体系健全、土地利用生态集约、文化内涵健康文明的现代殡葬体系，保障殡仪馆、殡仪服务站、公益性公墓和骨灰楼堂用地需求。</w:t>
      </w:r>
    </w:p>
    <w:p w14:paraId="0095C4E8">
      <w:pPr>
        <w:pStyle w:val="3"/>
        <w:spacing w:before="435" w:after="435"/>
      </w:pPr>
      <w:bookmarkStart w:id="210" w:name="_Toc25154"/>
      <w:bookmarkStart w:id="211" w:name="_Toc157528353"/>
      <w:r>
        <w:rPr>
          <w:rFonts w:hint="eastAsia"/>
        </w:rPr>
        <w:t>推进城乡建设用地节约集约利用</w:t>
      </w:r>
      <w:bookmarkEnd w:id="210"/>
      <w:bookmarkEnd w:id="211"/>
    </w:p>
    <w:p w14:paraId="0CAFB773">
      <w:pPr>
        <w:pStyle w:val="4"/>
      </w:pPr>
      <w:r>
        <w:rPr>
          <w:rFonts w:hint="eastAsia"/>
        </w:rPr>
        <w:t>严控城乡建设用地总量</w:t>
      </w:r>
    </w:p>
    <w:p w14:paraId="4C1D6EF9">
      <w:pPr>
        <w:ind w:firstLine="640"/>
      </w:pPr>
      <w:r>
        <w:rPr>
          <w:rFonts w:hint="eastAsia" w:ascii="仿宋_GB2312"/>
        </w:rPr>
        <w:t>坚持建设用地与人口布局相协调，优化城乡建设用地结构，合理安排新增建设用地。统筹优化村庄建设用地布局，科学确定村庄建设用地规模。盘活城乡存量建设用地，推动低效建设用地再开发。优先保障民生、基础设施和重点项目建设用地需求。</w:t>
      </w:r>
    </w:p>
    <w:p w14:paraId="203734A4">
      <w:pPr>
        <w:pStyle w:val="4"/>
      </w:pPr>
      <w:r>
        <w:rPr>
          <w:rFonts w:hint="eastAsia"/>
        </w:rPr>
        <w:t>增量空间精准调控</w:t>
      </w:r>
    </w:p>
    <w:p w14:paraId="00EB4236">
      <w:pPr>
        <w:ind w:firstLine="640"/>
      </w:pPr>
      <w:r>
        <w:rPr>
          <w:rFonts w:hint="eastAsia"/>
        </w:rPr>
        <w:t>城镇开发边界内，合理安排城镇建设用地规模、结构、布局和时序，严格落实土地利用年度计划安排，新增建设用地优先用于民生设施、产业发展、重大项目建设需求。城镇开发边界外，结合城乡融合、区域一体化发展和旅游开发等合理需要，可规划布局有特定选址要求的零星城镇建设用地，涉及新增城镇建设用地的，要纳入城镇开发边界扩展倍数统筹核算。乡镇级国土空间规划应统筹保障乡村产业发展空间，支持乡村文旅设施及农村新产业用地。</w:t>
      </w:r>
    </w:p>
    <w:p w14:paraId="07B92455">
      <w:pPr>
        <w:pStyle w:val="4"/>
      </w:pPr>
      <w:r>
        <w:rPr>
          <w:rFonts w:hint="eastAsia"/>
        </w:rPr>
        <w:t>存量空间盘活利用</w:t>
      </w:r>
    </w:p>
    <w:p w14:paraId="54907840">
      <w:pPr>
        <w:ind w:firstLine="640"/>
      </w:pPr>
      <w:r>
        <w:rPr>
          <w:rFonts w:hint="eastAsia"/>
        </w:rPr>
        <w:t>加快批而未供、闲置土地等存量资源盘活利用，逐步建立“先存量、后增量”的建设用地供给模式。推进城镇低效用地再开发，推动城市更新，实施城镇老旧小区、老旧厂区、老旧街区、城中村改造。推动低效产业用地整治提升，制定鼓励引导政策机制，盘活产业低效用地。引导城中村集体建设用地改造开发，鼓励农村集体经济组织和原集体建设用地使用权人积极参与。</w:t>
      </w:r>
    </w:p>
    <w:p w14:paraId="45620472">
      <w:pPr>
        <w:pStyle w:val="4"/>
      </w:pPr>
      <w:r>
        <w:rPr>
          <w:rFonts w:hint="eastAsia"/>
        </w:rPr>
        <w:t>流量空间转化利用</w:t>
      </w:r>
    </w:p>
    <w:p w14:paraId="5C51510B">
      <w:pPr>
        <w:ind w:firstLine="640"/>
      </w:pPr>
      <w:r>
        <w:rPr>
          <w:rFonts w:hint="eastAsia"/>
        </w:rPr>
        <w:t>推进工矿废弃地综合整治，按照先复垦、后调整利用的要求，调整建设用地布局，增加土地有效供给，促进土地资源集约高效利用。推动城乡建设用地增减挂钩，按照“村民自愿、因地制宜、统筹兼顾、协调发展”的原则，规范城乡建设用地“增减挂钩”工作流程和政策机制，稳妥推进村庄搬迁撤并。</w:t>
      </w:r>
    </w:p>
    <w:p w14:paraId="369F05B6">
      <w:pPr>
        <w:pStyle w:val="4"/>
      </w:pPr>
      <w:r>
        <w:rPr>
          <w:rFonts w:hint="eastAsia"/>
        </w:rPr>
        <w:t>地上地下空间集约利用</w:t>
      </w:r>
    </w:p>
    <w:p w14:paraId="0DAAF47B">
      <w:pPr>
        <w:ind w:firstLine="640"/>
      </w:pPr>
      <w:r>
        <w:rPr>
          <w:rFonts w:hint="eastAsia"/>
        </w:rPr>
        <w:t>统筹地上地下空间资源，地下空间适用于地表建设用地使用权管理的一般规定。分层设立地上地下空间建设用地使用权，对照其规划批准用途，实行分层供地，确保地上地下空间的集约利用。</w:t>
      </w:r>
    </w:p>
    <w:p w14:paraId="7271D298">
      <w:pPr>
        <w:ind w:firstLine="640"/>
        <w:sectPr>
          <w:pgSz w:w="11906" w:h="16838"/>
          <w:pgMar w:top="1440" w:right="1800" w:bottom="1440" w:left="1800" w:header="851" w:footer="992" w:gutter="0"/>
          <w:cols w:space="425" w:num="1"/>
          <w:docGrid w:type="lines" w:linePitch="435" w:charSpace="0"/>
        </w:sectPr>
      </w:pPr>
    </w:p>
    <w:p w14:paraId="13A90F1A">
      <w:pPr>
        <w:pStyle w:val="2"/>
        <w:spacing w:before="1522" w:after="652"/>
        <w:rPr>
          <w:rFonts w:hint="eastAsia"/>
        </w:rPr>
      </w:pPr>
      <w:bookmarkStart w:id="212" w:name="_Toc9494"/>
      <w:bookmarkStart w:id="213" w:name="_Toc157528354"/>
      <w:r>
        <w:rPr>
          <w:rFonts w:hint="eastAsia"/>
        </w:rPr>
        <w:t>建设以人为本的中心城区</w:t>
      </w:r>
      <w:bookmarkEnd w:id="212"/>
      <w:bookmarkEnd w:id="213"/>
    </w:p>
    <w:p w14:paraId="57B511EA">
      <w:pPr>
        <w:ind w:firstLine="640"/>
      </w:pPr>
      <w:r>
        <w:rPr>
          <w:rFonts w:hint="eastAsia"/>
        </w:rPr>
        <w:t>满足人民对美好生活的向往，优化中心城区空间布局，加强底线管控。完善生产、生活空间布局，推动产城融合、职住平衡。提升中心城区品质，补齐公共服务、市政基础设施短板，塑造特色风貌，提升中心城区集聚效应和辐射带动能力。</w:t>
      </w:r>
    </w:p>
    <w:p w14:paraId="587D240F">
      <w:pPr>
        <w:pStyle w:val="3"/>
        <w:spacing w:before="435" w:after="435"/>
      </w:pPr>
      <w:bookmarkStart w:id="214" w:name="_Toc1963"/>
      <w:bookmarkStart w:id="215" w:name="_Toc157528355"/>
      <w:r>
        <w:rPr>
          <w:rFonts w:hint="eastAsia"/>
        </w:rPr>
        <w:t>完善城市空间结构与功能布局</w:t>
      </w:r>
      <w:bookmarkEnd w:id="214"/>
      <w:bookmarkEnd w:id="215"/>
    </w:p>
    <w:p w14:paraId="53DD3C6C">
      <w:pPr>
        <w:pStyle w:val="4"/>
      </w:pPr>
      <w:r>
        <w:rPr>
          <w:rFonts w:hint="eastAsia"/>
        </w:rPr>
        <w:t>城市发展方向和规模</w:t>
      </w:r>
    </w:p>
    <w:p w14:paraId="6963E76E">
      <w:pPr>
        <w:ind w:firstLine="640"/>
      </w:pPr>
      <w:r>
        <w:rPr>
          <w:rFonts w:hint="eastAsia"/>
        </w:rPr>
        <w:t>推进城市向西、向南发展，围绕京唐（京滨）城际香河站周边地区，迎宾路以西、京唐（京滨）城际线以东布局增量空间。</w:t>
      </w:r>
    </w:p>
    <w:p w14:paraId="38B24BE4">
      <w:pPr>
        <w:pStyle w:val="4"/>
      </w:pPr>
      <w:r>
        <w:rPr>
          <w:rFonts w:hint="eastAsia"/>
        </w:rPr>
        <w:t>构建“一环、四轴、五板块”的空间布局结构</w:t>
      </w:r>
    </w:p>
    <w:p w14:paraId="2B163702">
      <w:pPr>
        <w:ind w:firstLine="640"/>
      </w:pPr>
      <w:r>
        <w:rPr>
          <w:rFonts w:hint="eastAsia"/>
        </w:rPr>
        <w:t>营造“一环”生态景观。依托潮白河、北运河生态廊道景观打造，结合东南农田林网、京唐（京滨）城际铁路生态廊道建设，构建环城景观游憩带，优化蓝绿空间网络。</w:t>
      </w:r>
    </w:p>
    <w:p w14:paraId="0E48FEA7">
      <w:pPr>
        <w:ind w:firstLine="640"/>
      </w:pPr>
      <w:r>
        <w:rPr>
          <w:rFonts w:hint="eastAsia"/>
        </w:rPr>
        <w:t>强化“四轴”带动作用。精心打造绣水街、双安路、永泰路、五一路4条城市发展轴，引导城区产业发展。绣水街两侧重点布局以家具城为核心的商业功能，提升商贸服务功能。双安路两侧重点布局工业发展空间，统筹推进工业用地整治和传统产业升级。永泰路串联南北商业服务片区和工业园区，两侧布局创新功能。改善提升五一路两侧景观风貌，形成展示县城特色的景观大道。</w:t>
      </w:r>
    </w:p>
    <w:p w14:paraId="215E059E">
      <w:pPr>
        <w:ind w:firstLine="640"/>
      </w:pPr>
      <w:r>
        <w:rPr>
          <w:rFonts w:hint="eastAsia"/>
        </w:rPr>
        <w:t>建设5个特色板块。古郡芳华板块为五一路以东、规划S6路以北老城区，重点推进城市更新，提升人居环境品质，补齐公共服务设施和城市绿地短板。滨河家园板块位于五一路以西、京唐城际线以东区域，建设县体育中心、青年中心等公共服务设施，承接区域公共服务设施，打造高质量生活组团。高铁站前区板块位于县城南部，围绕京唐（京滨）城际香河站，布局高端制造和商业商务空间。</w:t>
      </w:r>
      <w:bookmarkStart w:id="216" w:name="_Hlk144919740"/>
      <w:r>
        <w:rPr>
          <w:rFonts w:hint="eastAsia"/>
        </w:rPr>
        <w:t>智能制造板块位于县城西南，结合机器人小镇建设智能制造基地。科创研发板块位于县城东南，主要为香河经济开发区（环保产业园），整合提升现有工业用地，布局科创研发空间。</w:t>
      </w:r>
      <w:bookmarkEnd w:id="216"/>
    </w:p>
    <w:p w14:paraId="2F0A33AC">
      <w:pPr>
        <w:pStyle w:val="4"/>
      </w:pPr>
      <w:r>
        <w:rPr>
          <w:rFonts w:hint="eastAsia"/>
        </w:rPr>
        <w:t>划分城市功能分区</w:t>
      </w:r>
    </w:p>
    <w:p w14:paraId="356D2CF2">
      <w:pPr>
        <w:ind w:firstLine="640"/>
      </w:pPr>
      <w:r>
        <w:rPr>
          <w:rFonts w:hint="eastAsia"/>
        </w:rPr>
        <w:t>按照主导功能，将城镇发展区划分6类规划分区，对城市功能的空间布局进行结构性控制，为详细规划提供土地用途分类依据。</w:t>
      </w:r>
    </w:p>
    <w:p w14:paraId="38620320">
      <w:pPr>
        <w:ind w:firstLine="640"/>
      </w:pPr>
      <w:r>
        <w:rPr>
          <w:rFonts w:hint="eastAsia"/>
        </w:rPr>
        <w:t>居住生活区，主要提供居住及配套生活服务功能。</w:t>
      </w:r>
    </w:p>
    <w:p w14:paraId="231EB9D8">
      <w:pPr>
        <w:ind w:firstLine="640"/>
      </w:pPr>
      <w:r>
        <w:rPr>
          <w:rFonts w:hint="eastAsia"/>
        </w:rPr>
        <w:t>商业商务区，以提供商业、商务办公等为主要功能。</w:t>
      </w:r>
    </w:p>
    <w:p w14:paraId="6CCC576D">
      <w:pPr>
        <w:ind w:firstLine="640"/>
      </w:pPr>
      <w:r>
        <w:rPr>
          <w:rFonts w:hint="eastAsia"/>
        </w:rPr>
        <w:t>综合服务区，以提供行政办公、文化、教育、医疗等服务为主要功能。</w:t>
      </w:r>
    </w:p>
    <w:p w14:paraId="7642E722">
      <w:pPr>
        <w:ind w:firstLine="640"/>
      </w:pPr>
      <w:r>
        <w:rPr>
          <w:rFonts w:hint="eastAsia"/>
        </w:rPr>
        <w:t>工业物流区，以工业、仓储物流及其配套产业为主要功能导向的区域。</w:t>
      </w:r>
    </w:p>
    <w:p w14:paraId="7FA9EAF9">
      <w:pPr>
        <w:ind w:firstLine="640"/>
      </w:pPr>
      <w:r>
        <w:rPr>
          <w:rFonts w:hint="eastAsia"/>
        </w:rPr>
        <w:t>绿地休闲区，是以公园绿地、广场用地、滨水开放空间、防护绿地等为主要功能导向的区域。</w:t>
      </w:r>
    </w:p>
    <w:p w14:paraId="34A85AC1">
      <w:pPr>
        <w:ind w:firstLine="640"/>
      </w:pPr>
      <w:r>
        <w:rPr>
          <w:rFonts w:hint="eastAsia"/>
        </w:rPr>
        <w:t>交通枢纽区，是以铁路客货运站等大型交通设施为主要功能导向的区域。</w:t>
      </w:r>
    </w:p>
    <w:p w14:paraId="39AE612D">
      <w:pPr>
        <w:pStyle w:val="4"/>
      </w:pPr>
      <w:r>
        <w:rPr>
          <w:rFonts w:hint="eastAsia"/>
        </w:rPr>
        <w:t>优化用地结构</w:t>
      </w:r>
    </w:p>
    <w:p w14:paraId="3DCE20B1">
      <w:pPr>
        <w:ind w:firstLine="640"/>
      </w:pPr>
      <w:bookmarkStart w:id="217" w:name="_Hlk57383329"/>
      <w:r>
        <w:rPr>
          <w:rFonts w:hint="eastAsia"/>
        </w:rPr>
        <w:t>构建多层次的住房保障，严格控制房地产开发。提供高品质的公共服务，提高公共设施用地比例。提高绿地与广场用地比例。保障生产空间需求，优化工业用地布局。加强对科技创新的支撑能力。加强综合交通保障能力。构建“小街区密路网”的城市道路网体系。保障市政公用设施用地比例。</w:t>
      </w:r>
      <w:bookmarkEnd w:id="217"/>
    </w:p>
    <w:p w14:paraId="27C8F5CD">
      <w:pPr>
        <w:pStyle w:val="3"/>
        <w:spacing w:before="435" w:after="435"/>
      </w:pPr>
      <w:bookmarkStart w:id="218" w:name="_Toc157528356"/>
      <w:bookmarkStart w:id="219" w:name="_Toc23273"/>
      <w:r>
        <w:rPr>
          <w:rFonts w:hint="eastAsia"/>
        </w:rPr>
        <w:t>建立城市公共空间与蓝绿网络</w:t>
      </w:r>
      <w:bookmarkEnd w:id="218"/>
      <w:bookmarkEnd w:id="219"/>
    </w:p>
    <w:p w14:paraId="2BBF2053">
      <w:pPr>
        <w:pStyle w:val="4"/>
      </w:pPr>
      <w:r>
        <w:rPr>
          <w:rFonts w:hint="eastAsia"/>
        </w:rPr>
        <w:t>构建城市蓝绿网络</w:t>
      </w:r>
    </w:p>
    <w:p w14:paraId="09607EFA">
      <w:pPr>
        <w:ind w:firstLine="640"/>
      </w:pPr>
      <w:r>
        <w:rPr>
          <w:rFonts w:hint="eastAsia"/>
        </w:rPr>
        <w:t>以绿色生态网络串联城市组团，实现城绿交融。引入县城西北潮白河生态界面和北运河生态界面，沿绿化廊道，与县城南部生态绿带相连，共同营造蓝绿交织的生态景观。</w:t>
      </w:r>
    </w:p>
    <w:p w14:paraId="03E3753F">
      <w:pPr>
        <w:pStyle w:val="4"/>
      </w:pPr>
      <w:r>
        <w:rPr>
          <w:rFonts w:hint="eastAsia"/>
        </w:rPr>
        <w:t>打造公园绿地体系</w:t>
      </w:r>
    </w:p>
    <w:p w14:paraId="2B177A4D">
      <w:pPr>
        <w:ind w:firstLine="640"/>
      </w:pPr>
      <w:bookmarkStart w:id="220" w:name="_Hlk144920624"/>
      <w:r>
        <w:rPr>
          <w:rFonts w:hint="eastAsia"/>
        </w:rPr>
        <w:t>构建县级公园—片区级公园—社区公园绿地体系。提升现状城市公园设施，</w:t>
      </w:r>
      <w:bookmarkEnd w:id="220"/>
      <w:r>
        <w:rPr>
          <w:rFonts w:hint="eastAsia"/>
        </w:rPr>
        <w:t>规划县级公园、片区级公园。结合城市更新有机布局社区公园和口袋公园。</w:t>
      </w:r>
    </w:p>
    <w:p w14:paraId="040514FA">
      <w:pPr>
        <w:pStyle w:val="4"/>
      </w:pPr>
      <w:r>
        <w:rPr>
          <w:rFonts w:hint="eastAsia"/>
        </w:rPr>
        <w:t>布局绿道系统和通风廊道</w:t>
      </w:r>
    </w:p>
    <w:p w14:paraId="0FBC8CEF">
      <w:pPr>
        <w:ind w:firstLine="640"/>
      </w:pPr>
      <w:r>
        <w:rPr>
          <w:rFonts w:hint="eastAsia"/>
        </w:rPr>
        <w:t>衔接北京通州区绿道，依托潮白河、北运河建设区域绿道。串联城镇功能组团、公园绿地、广场、防护绿地等</w:t>
      </w:r>
      <w:bookmarkStart w:id="221" w:name="_Hlk144920644"/>
      <w:r>
        <w:rPr>
          <w:rFonts w:hint="eastAsia"/>
        </w:rPr>
        <w:t>，依托主干路建设城市绿道。</w:t>
      </w:r>
      <w:bookmarkEnd w:id="221"/>
      <w:bookmarkStart w:id="222" w:name="_Hlk144920651"/>
      <w:r>
        <w:rPr>
          <w:rFonts w:hint="eastAsia"/>
        </w:rPr>
        <w:t>结合绿道建设控制</w:t>
      </w:r>
      <w:r>
        <w:t>3</w:t>
      </w:r>
      <w:r>
        <w:rPr>
          <w:rFonts w:hint="eastAsia"/>
        </w:rPr>
        <w:t>条城市通风廊道，加强廊道两侧开发强度管控，确保廊道连续性。</w:t>
      </w:r>
    </w:p>
    <w:bookmarkEnd w:id="222"/>
    <w:p w14:paraId="7C1FEEC4">
      <w:pPr>
        <w:pStyle w:val="3"/>
        <w:spacing w:before="435" w:after="435"/>
      </w:pPr>
      <w:bookmarkStart w:id="223" w:name="_Toc157528357"/>
      <w:bookmarkStart w:id="224" w:name="_Toc15277"/>
      <w:r>
        <w:rPr>
          <w:rFonts w:hint="eastAsia"/>
        </w:rPr>
        <w:t>优化生活空间布局</w:t>
      </w:r>
      <w:bookmarkEnd w:id="223"/>
      <w:bookmarkEnd w:id="224"/>
    </w:p>
    <w:p w14:paraId="7017E18B">
      <w:pPr>
        <w:pStyle w:val="4"/>
      </w:pPr>
      <w:r>
        <w:rPr>
          <w:rFonts w:hint="eastAsia"/>
        </w:rPr>
        <w:t>完善居住用地布局</w:t>
      </w:r>
    </w:p>
    <w:p w14:paraId="5F347393">
      <w:pPr>
        <w:ind w:firstLine="640"/>
      </w:pPr>
      <w:r>
        <w:rPr>
          <w:rFonts w:hint="eastAsia"/>
        </w:rPr>
        <w:t>适度增加城镇居住用地规模。</w:t>
      </w:r>
      <w:bookmarkStart w:id="225" w:name="_Hlk156408720"/>
      <w:r>
        <w:rPr>
          <w:rFonts w:hint="eastAsia"/>
        </w:rPr>
        <w:t>城市建成区范围内严格控制新建自建房。</w:t>
      </w:r>
      <w:bookmarkEnd w:id="225"/>
      <w:r>
        <w:rPr>
          <w:rFonts w:hint="eastAsia" w:ascii="仿宋_GB2312"/>
        </w:rPr>
        <w:t>优先保障公租房、政策性租赁住房、共有产权房等保障性住房。</w:t>
      </w:r>
    </w:p>
    <w:p w14:paraId="7A42C5C3">
      <w:pPr>
        <w:pStyle w:val="4"/>
      </w:pPr>
      <w:r>
        <w:rPr>
          <w:rFonts w:hint="eastAsia"/>
        </w:rPr>
        <w:t>布局社区生活圈</w:t>
      </w:r>
    </w:p>
    <w:p w14:paraId="6EA9B13D">
      <w:pPr>
        <w:ind w:firstLine="640"/>
      </w:pPr>
      <w:r>
        <w:rPr>
          <w:rFonts w:hint="eastAsia"/>
        </w:rPr>
        <w:t>构建1</w:t>
      </w:r>
      <w:r>
        <w:t>5</w:t>
      </w:r>
      <w:r>
        <w:rPr>
          <w:rFonts w:hint="eastAsia"/>
        </w:rPr>
        <w:t>分钟—1</w:t>
      </w:r>
      <w:r>
        <w:t>0</w:t>
      </w:r>
      <w:r>
        <w:rPr>
          <w:rFonts w:hint="eastAsia"/>
        </w:rPr>
        <w:t>分钟—5分钟三级社区生活圈。</w:t>
      </w:r>
    </w:p>
    <w:p w14:paraId="7F016479">
      <w:pPr>
        <w:pStyle w:val="3"/>
        <w:spacing w:before="435" w:after="435"/>
      </w:pPr>
      <w:bookmarkStart w:id="226" w:name="_Toc157528358"/>
      <w:bookmarkStart w:id="227" w:name="_Toc26525"/>
      <w:r>
        <w:rPr>
          <w:rFonts w:hint="eastAsia"/>
        </w:rPr>
        <w:t>科学布局公共服务设施</w:t>
      </w:r>
      <w:bookmarkEnd w:id="226"/>
      <w:bookmarkEnd w:id="227"/>
    </w:p>
    <w:p w14:paraId="3EBD6E95">
      <w:pPr>
        <w:pStyle w:val="4"/>
      </w:pPr>
      <w:r>
        <w:rPr>
          <w:rFonts w:hint="eastAsia"/>
        </w:rPr>
        <w:t>完善文化设施布局</w:t>
      </w:r>
    </w:p>
    <w:p w14:paraId="04481A4E">
      <w:pPr>
        <w:ind w:firstLine="640"/>
      </w:pPr>
      <w:r>
        <w:rPr>
          <w:rFonts w:hint="eastAsia"/>
        </w:rPr>
        <w:t>在保留香河县文化中心的基础上，规划新增文化设施。根据人口和现状设施的位置预留小型图书馆、文化馆设施用地。</w:t>
      </w:r>
    </w:p>
    <w:p w14:paraId="5D25E372">
      <w:pPr>
        <w:pStyle w:val="4"/>
      </w:pPr>
      <w:r>
        <w:rPr>
          <w:rFonts w:hint="eastAsia"/>
        </w:rPr>
        <w:t>优化教育设施布局</w:t>
      </w:r>
    </w:p>
    <w:p w14:paraId="63A34549">
      <w:pPr>
        <w:ind w:firstLine="640"/>
      </w:pPr>
      <w:r>
        <w:rPr>
          <w:rFonts w:hint="eastAsia"/>
        </w:rPr>
        <w:t>结合居住区布局和适龄人口分布，均衡布局初中、小学等，补充完善托幼机构设施。迁建特殊教育学校。在香河站南预留教育设施用地。</w:t>
      </w:r>
    </w:p>
    <w:p w14:paraId="09A5ED92">
      <w:pPr>
        <w:pStyle w:val="4"/>
      </w:pPr>
      <w:r>
        <w:rPr>
          <w:rFonts w:hint="eastAsia"/>
        </w:rPr>
        <w:t>推进体育设施建设</w:t>
      </w:r>
    </w:p>
    <w:p w14:paraId="7E7B3789">
      <w:pPr>
        <w:ind w:firstLine="640"/>
      </w:pPr>
      <w:r>
        <w:rPr>
          <w:rFonts w:hint="eastAsia"/>
        </w:rPr>
        <w:t>规划布局集公共体育场、公共体育馆和公共游泳馆于一体的体育中心。</w:t>
      </w:r>
    </w:p>
    <w:p w14:paraId="580E85AB">
      <w:pPr>
        <w:pStyle w:val="4"/>
      </w:pPr>
      <w:r>
        <w:rPr>
          <w:rFonts w:hint="eastAsia"/>
        </w:rPr>
        <w:t>布局医疗卫生设施</w:t>
      </w:r>
    </w:p>
    <w:p w14:paraId="402AD78C">
      <w:pPr>
        <w:ind w:firstLine="640"/>
      </w:pPr>
      <w:r>
        <w:rPr>
          <w:rFonts w:hint="eastAsia"/>
        </w:rPr>
        <w:t>规划升级县医院，预留扩建用地。中心城区新增规模250～300床的医院，预留大型专科医院，承接北京优质专科医院分院或者综合医院部分专科。在县城南部预留医院扩建用地，预留精神病医院。规划新增急救指挥中心。规划迁建香河妇幼保健院（含托育机构建设）。</w:t>
      </w:r>
    </w:p>
    <w:p w14:paraId="469BFB50">
      <w:pPr>
        <w:pStyle w:val="4"/>
      </w:pPr>
      <w:r>
        <w:rPr>
          <w:rFonts w:hint="eastAsia"/>
        </w:rPr>
        <w:t>健全养老福利设施</w:t>
      </w:r>
    </w:p>
    <w:p w14:paraId="0DD26B30">
      <w:pPr>
        <w:ind w:firstLine="640"/>
      </w:pPr>
      <w:r>
        <w:rPr>
          <w:rFonts w:hint="eastAsia"/>
        </w:rPr>
        <w:t>建设结构合理、功能完善、惠及全民的养老服务设施体系。形成以家庭养老为基础、社区养老为依托、机构养老为辅助，各类养老服务机构协调发展，多种养老方式相互补充的养老服务体系。建设功能完备、适度普惠的社会福利体系。规划合建儿童福利院和救助站。</w:t>
      </w:r>
    </w:p>
    <w:p w14:paraId="28AC5192">
      <w:pPr>
        <w:pStyle w:val="3"/>
        <w:spacing w:before="435" w:after="435"/>
      </w:pPr>
      <w:bookmarkStart w:id="228" w:name="_Toc8196"/>
      <w:bookmarkStart w:id="229" w:name="_Toc157528359"/>
      <w:r>
        <w:rPr>
          <w:rFonts w:hint="eastAsia"/>
        </w:rPr>
        <w:t>完善工业和仓储物流用地布局</w:t>
      </w:r>
      <w:bookmarkEnd w:id="228"/>
      <w:bookmarkEnd w:id="229"/>
    </w:p>
    <w:p w14:paraId="75C21B83">
      <w:pPr>
        <w:pStyle w:val="4"/>
      </w:pPr>
      <w:r>
        <w:rPr>
          <w:rFonts w:hint="eastAsia"/>
        </w:rPr>
        <w:t>完善工业用地布局</w:t>
      </w:r>
    </w:p>
    <w:p w14:paraId="32A669C0">
      <w:pPr>
        <w:ind w:firstLine="640"/>
      </w:pPr>
      <w:r>
        <w:rPr>
          <w:rFonts w:hint="eastAsia"/>
        </w:rPr>
        <w:t>香河县城重点打造县城西部智能制造产业园和县城东南部的环保产业园。在县城南部高铁站北侧，打造高铁商务区，发展总部经济、科技服务、商务服务等，打造成为北三县地区高端专业服务业集聚区。整合淑阳工业园等区域的零散工业用地，提高工业用地利用效率。</w:t>
      </w:r>
    </w:p>
    <w:p w14:paraId="3533B9A7">
      <w:pPr>
        <w:pStyle w:val="4"/>
      </w:pPr>
      <w:r>
        <w:rPr>
          <w:rFonts w:hint="eastAsia"/>
        </w:rPr>
        <w:t>合理布局仓储物流用地</w:t>
      </w:r>
    </w:p>
    <w:p w14:paraId="1C65F969">
      <w:pPr>
        <w:ind w:firstLine="640"/>
      </w:pPr>
      <w:r>
        <w:rPr>
          <w:rFonts w:hint="eastAsia"/>
        </w:rPr>
        <w:t>中心城区物流仓储用地主要布局在城区外围主要道路周边，提升中心城区物流服务能力。</w:t>
      </w:r>
    </w:p>
    <w:p w14:paraId="0F1DFE66">
      <w:pPr>
        <w:pStyle w:val="3"/>
        <w:spacing w:before="435" w:after="435"/>
      </w:pPr>
      <w:bookmarkStart w:id="230" w:name="_Toc157528360"/>
      <w:bookmarkStart w:id="231" w:name="_Toc3413"/>
      <w:r>
        <w:rPr>
          <w:rFonts w:hint="eastAsia"/>
        </w:rPr>
        <w:t>畅通城市交通网络</w:t>
      </w:r>
      <w:bookmarkEnd w:id="230"/>
      <w:bookmarkEnd w:id="231"/>
    </w:p>
    <w:p w14:paraId="0CB54CF3">
      <w:pPr>
        <w:pStyle w:val="4"/>
      </w:pPr>
      <w:r>
        <w:rPr>
          <w:rFonts w:hint="eastAsia"/>
        </w:rPr>
        <w:t>加强对外交通联系</w:t>
      </w:r>
    </w:p>
    <w:p w14:paraId="2255BB1B">
      <w:pPr>
        <w:ind w:firstLine="640"/>
      </w:pPr>
      <w:r>
        <w:rPr>
          <w:rFonts w:hint="eastAsia"/>
        </w:rPr>
        <w:t>优化过境交通组织，提高过境车辆通行条件，实现快速便捷连接。以双安路、绣水街、运河大道等道路为主要对外公交廊道，形成与通州一体化的城市公共交通系统，以速度快、站距大的城际铁路、区域快线等方式满足出行需求，形成以公交出行为导向的对外交通联系。</w:t>
      </w:r>
    </w:p>
    <w:p w14:paraId="32395471">
      <w:pPr>
        <w:pStyle w:val="4"/>
      </w:pPr>
      <w:r>
        <w:rPr>
          <w:rFonts w:hint="eastAsia"/>
        </w:rPr>
        <w:t>优化城市道路网</w:t>
      </w:r>
    </w:p>
    <w:p w14:paraId="5C694805">
      <w:pPr>
        <w:ind w:firstLine="640"/>
      </w:pPr>
      <w:r>
        <w:rPr>
          <w:rFonts w:hint="eastAsia"/>
        </w:rPr>
        <w:t>规划形成“七横九纵”骨架路网结构。“七横”分别为新华大街、新开大街、绣水街、城北大街、景观大道、双安路等，“九纵”分别为运河大道（快速路）、健康路、五一路、迎宾路等。</w:t>
      </w:r>
    </w:p>
    <w:p w14:paraId="4DFCC0E8">
      <w:pPr>
        <w:pStyle w:val="4"/>
      </w:pPr>
      <w:r>
        <w:rPr>
          <w:rFonts w:hint="eastAsia"/>
        </w:rPr>
        <w:t>完善公共交通体系</w:t>
      </w:r>
    </w:p>
    <w:p w14:paraId="74815CFE">
      <w:pPr>
        <w:ind w:firstLine="640"/>
      </w:pPr>
      <w:r>
        <w:rPr>
          <w:rFonts w:hint="eastAsia"/>
        </w:rPr>
        <w:t>围绕轨道站点设置换乘停车场（P+R），围绕轨道、公交站点，完善慢行接驳通道，优化设置共享自行车停放区，倡导自行车换乘公共交通（B+R）的绿色出行方式，实现多种交通方式的顺畅换乘和无缝衔接。</w:t>
      </w:r>
    </w:p>
    <w:p w14:paraId="2FE521EE">
      <w:pPr>
        <w:ind w:firstLine="640"/>
      </w:pPr>
      <w:r>
        <w:rPr>
          <w:rFonts w:hint="eastAsia"/>
        </w:rPr>
        <w:t>在快速公交基础上，构筑与轨道交通良性互补的地面公交系统。规划布局干支结合、城乡一体、形式多样、覆盖广泛的地面公共交通运输网络。</w:t>
      </w:r>
    </w:p>
    <w:p w14:paraId="0453770A">
      <w:pPr>
        <w:ind w:firstLine="640"/>
      </w:pPr>
      <w:r>
        <w:rPr>
          <w:rFonts w:hint="eastAsia"/>
        </w:rPr>
        <w:t>结合现状在中心城区东北和香河汽车站布局公交首末站，在中心城区南部布局香河南停保场。</w:t>
      </w:r>
    </w:p>
    <w:p w14:paraId="110A6A5E">
      <w:pPr>
        <w:pStyle w:val="4"/>
      </w:pPr>
      <w:r>
        <w:rPr>
          <w:rFonts w:hint="eastAsia"/>
        </w:rPr>
        <w:t>改善慢行交通环境</w:t>
      </w:r>
    </w:p>
    <w:p w14:paraId="579F404F">
      <w:pPr>
        <w:ind w:firstLine="640"/>
      </w:pPr>
      <w:r>
        <w:rPr>
          <w:rFonts w:hint="eastAsia"/>
        </w:rPr>
        <w:t>完善自行车道系统。协调自行车交通与其它交通方式在道路设施和运行组织上衔接关系，重点建立自行车交通与公共交通的换乘体系，解决好换乘点停车问题。</w:t>
      </w:r>
    </w:p>
    <w:p w14:paraId="1372FE54">
      <w:pPr>
        <w:ind w:firstLine="640"/>
      </w:pPr>
      <w:r>
        <w:rPr>
          <w:rFonts w:hint="eastAsia"/>
        </w:rPr>
        <w:t>建立网络化步道系统，连接城市片区的公共中心及日常生活服务设施，规划商业街区步行街系统，方便居民出行及日常生活。</w:t>
      </w:r>
    </w:p>
    <w:p w14:paraId="3D939802">
      <w:pPr>
        <w:ind w:firstLine="640"/>
      </w:pPr>
      <w:r>
        <w:rPr>
          <w:rFonts w:hint="eastAsia"/>
        </w:rPr>
        <w:t>打造大运河慢行风景道。落实大运河国家文化公园规划要求，在大运河沿线按照“旅游—生活—交通”功能由内向外构建圈层道路体系。</w:t>
      </w:r>
    </w:p>
    <w:p w14:paraId="623B671B">
      <w:pPr>
        <w:pStyle w:val="4"/>
      </w:pPr>
      <w:r>
        <w:rPr>
          <w:rFonts w:hint="eastAsia"/>
        </w:rPr>
        <w:t>优化停车场布局</w:t>
      </w:r>
    </w:p>
    <w:p w14:paraId="58B6138C">
      <w:pPr>
        <w:ind w:firstLine="640"/>
      </w:pPr>
      <w:r>
        <w:rPr>
          <w:rFonts w:hint="eastAsia"/>
        </w:rPr>
        <w:t>通过合理规划布局建设城市公共停车场，优先解决老城区，规划新城区，形成高效便捷的停车网，提升停车体验。因地制宜形成差异化分区治理，逐步形成以配建停车为主、公共停车场为辅、路内停车为补充的停车泊位供给体系。积极推进停车管理的信息化、智能化，实现停车设施利用高效化、便捷化。</w:t>
      </w:r>
      <w:r>
        <w:rPr>
          <w:rFonts w:hint="eastAsia"/>
          <w:lang w:bidi="ar"/>
        </w:rPr>
        <w:t>充分利用复合用地布局兼容性停车场、闲置空地布局弹性停车场，支持公共建筑配建停车场</w:t>
      </w:r>
      <w:r>
        <w:rPr>
          <w:rFonts w:hint="eastAsia"/>
        </w:rPr>
        <w:t>。</w:t>
      </w:r>
      <w:r>
        <w:rPr>
          <w:rFonts w:hint="eastAsia"/>
          <w:lang w:bidi="ar"/>
        </w:rPr>
        <w:t>优化专用停车场布局。保障市政维修等特种车辆的停放需求，设置专用停车场。完善非机动车停车场建设。</w:t>
      </w:r>
    </w:p>
    <w:p w14:paraId="5C18C224">
      <w:pPr>
        <w:pStyle w:val="3"/>
        <w:spacing w:before="435" w:after="435"/>
      </w:pPr>
      <w:bookmarkStart w:id="232" w:name="_Toc157528361"/>
      <w:bookmarkStart w:id="233" w:name="_Toc24645"/>
      <w:r>
        <w:rPr>
          <w:rFonts w:hint="eastAsia"/>
        </w:rPr>
        <w:t>优化完善市政基础设施</w:t>
      </w:r>
      <w:bookmarkEnd w:id="232"/>
      <w:bookmarkEnd w:id="233"/>
    </w:p>
    <w:p w14:paraId="3CDCC894">
      <w:pPr>
        <w:pStyle w:val="4"/>
      </w:pPr>
      <w:r>
        <w:rPr>
          <w:rFonts w:hint="eastAsia"/>
        </w:rPr>
        <w:t>保障供水安全</w:t>
      </w:r>
    </w:p>
    <w:p w14:paraId="2978AF89">
      <w:pPr>
        <w:ind w:firstLine="640"/>
      </w:pPr>
      <w:r>
        <w:rPr>
          <w:rFonts w:hint="eastAsia"/>
        </w:rPr>
        <w:t>完成现状给水厂改建工程，远期使用南水北调水。规划新建地表水厂。强化中心城区组团间供水干管互联互通，地表水厂连接成环，互为备用，提高应急调度能力，构建三厂联动、一网多环的供水体系。</w:t>
      </w:r>
    </w:p>
    <w:p w14:paraId="15F2EAB9">
      <w:pPr>
        <w:pStyle w:val="4"/>
      </w:pPr>
      <w:r>
        <w:rPr>
          <w:rFonts w:hint="eastAsia"/>
        </w:rPr>
        <w:t>布局排水设施</w:t>
      </w:r>
    </w:p>
    <w:p w14:paraId="20432DCB">
      <w:pPr>
        <w:ind w:firstLine="640"/>
      </w:pPr>
      <w:r>
        <w:rPr>
          <w:rFonts w:hint="eastAsia"/>
        </w:rPr>
        <w:t>采用雨污分流的排水体制。中心城区保留现状污水处理厂，在南环路南新建污水处理厂。推动再生水厂建设，推进污水收集和转输设施的维护和建设，补齐中水、污水收集传输管网短板，改善城中村、老旧小区等薄弱区域配套公共污水管网。完善配套主干管网建设，同步完善配套污水泵站建设，实现生活污水收集全覆盖。推动污水处理与再生水利用设施合建。</w:t>
      </w:r>
    </w:p>
    <w:p w14:paraId="4C4087E2">
      <w:pPr>
        <w:pStyle w:val="4"/>
      </w:pPr>
      <w:r>
        <w:rPr>
          <w:rFonts w:hint="eastAsia"/>
        </w:rPr>
        <w:t>完善供电网络</w:t>
      </w:r>
    </w:p>
    <w:p w14:paraId="243879C7">
      <w:pPr>
        <w:ind w:firstLine="640"/>
      </w:pPr>
      <w:r>
        <w:rPr>
          <w:rFonts w:hint="eastAsia"/>
        </w:rPr>
        <w:t>完善安全高效的供电系统。</w:t>
      </w:r>
      <w:bookmarkStart w:id="234" w:name="_Hlk156559546"/>
      <w:r>
        <w:rPr>
          <w:rFonts w:hint="eastAsia"/>
        </w:rPr>
        <w:t>220千伏变电站均采用双回链式接线或双回闭式环网接线形式。</w:t>
      </w:r>
      <w:bookmarkEnd w:id="234"/>
      <w:r>
        <w:rPr>
          <w:rFonts w:hint="eastAsia"/>
        </w:rPr>
        <w:t>在中心城区内建设完善的110千伏主网架，优化网络结构。中心城区在现状1</w:t>
      </w:r>
      <w:r>
        <w:t>10</w:t>
      </w:r>
      <w:r>
        <w:rPr>
          <w:rFonts w:hint="eastAsia"/>
        </w:rPr>
        <w:t>千伏变电站的基础上，规划新建1</w:t>
      </w:r>
      <w:r>
        <w:t>10</w:t>
      </w:r>
      <w:r>
        <w:rPr>
          <w:rFonts w:hint="eastAsia"/>
        </w:rPr>
        <w:t>千伏变电站。</w:t>
      </w:r>
    </w:p>
    <w:p w14:paraId="25A49718">
      <w:pPr>
        <w:pStyle w:val="4"/>
      </w:pPr>
      <w:r>
        <w:rPr>
          <w:rFonts w:hint="eastAsia"/>
        </w:rPr>
        <w:t>确保燃气安全</w:t>
      </w:r>
    </w:p>
    <w:p w14:paraId="3645385B">
      <w:pPr>
        <w:ind w:firstLine="640"/>
      </w:pPr>
      <w:r>
        <w:rPr>
          <w:rFonts w:hint="eastAsia"/>
        </w:rPr>
        <w:t>在保留1处现状燃气供热站基础上，规划在中心城区东部新建香河天然气储配站。</w:t>
      </w:r>
      <w:bookmarkStart w:id="235" w:name="_Hlk156559568"/>
      <w:r>
        <w:rPr>
          <w:rFonts w:hint="eastAsia"/>
        </w:rPr>
        <w:t>沿主干路敷设中压管线，形成覆盖城乡、互联互通的环网配气系统</w:t>
      </w:r>
      <w:bookmarkEnd w:id="235"/>
      <w:r>
        <w:rPr>
          <w:rFonts w:hint="eastAsia"/>
        </w:rPr>
        <w:t>。</w:t>
      </w:r>
    </w:p>
    <w:p w14:paraId="20F06C87">
      <w:pPr>
        <w:pStyle w:val="4"/>
      </w:pPr>
      <w:r>
        <w:rPr>
          <w:rFonts w:hint="eastAsia"/>
        </w:rPr>
        <w:t>统筹通信基础设施建设</w:t>
      </w:r>
    </w:p>
    <w:p w14:paraId="55E606DF">
      <w:pPr>
        <w:ind w:firstLine="640"/>
      </w:pPr>
      <w:r>
        <w:rPr>
          <w:rFonts w:hint="eastAsia"/>
        </w:rPr>
        <w:t>合理规划布局通信基础设施，满足光纤网络和无线网络全覆盖的发展需要。中心城区保留现状香河广播电视中心，规划新建综合通信中心。依托结构性主干路和主干路敷设通信主网络。统筹电信网、互联网、广播电视网、物联网等网络，实现多网融合、联合建设、资源共享，信息管道网络采用地下敷设方式，中心城区实现主、次干道全覆盖，充分考虑与周围地区的互联互通。</w:t>
      </w:r>
    </w:p>
    <w:p w14:paraId="188FBD39">
      <w:pPr>
        <w:pStyle w:val="4"/>
      </w:pPr>
      <w:r>
        <w:rPr>
          <w:rFonts w:hint="eastAsia"/>
        </w:rPr>
        <w:t>保障供热安全</w:t>
      </w:r>
    </w:p>
    <w:p w14:paraId="5D5AF618">
      <w:pPr>
        <w:ind w:firstLine="640"/>
      </w:pPr>
      <w:r>
        <w:rPr>
          <w:rFonts w:hint="eastAsia"/>
        </w:rPr>
        <w:t>逐步改造小区锅炉房为新能源供热站，采用燃气供热方式，保证中心城区供暖。推动智慧供热发展，对热源、管网、用户等各个环节进行信息化、智能化改造，实现供热系统运行高效、服务多样。</w:t>
      </w:r>
    </w:p>
    <w:p w14:paraId="059FCE04">
      <w:pPr>
        <w:pStyle w:val="3"/>
        <w:spacing w:before="435" w:after="435"/>
      </w:pPr>
      <w:bookmarkStart w:id="236" w:name="_Toc157528362"/>
      <w:bookmarkStart w:id="237" w:name="_Toc15233"/>
      <w:r>
        <w:rPr>
          <w:rFonts w:hint="eastAsia"/>
        </w:rPr>
        <w:t>提升安全韧性</w:t>
      </w:r>
      <w:bookmarkEnd w:id="236"/>
      <w:bookmarkEnd w:id="237"/>
    </w:p>
    <w:p w14:paraId="5EAF1404">
      <w:pPr>
        <w:pStyle w:val="4"/>
      </w:pPr>
      <w:r>
        <w:rPr>
          <w:rFonts w:hint="eastAsia"/>
        </w:rPr>
        <w:t>明确城区综合防灾标准</w:t>
      </w:r>
    </w:p>
    <w:p w14:paraId="0F07BE2D">
      <w:pPr>
        <w:ind w:firstLine="640"/>
      </w:pPr>
      <w:r>
        <w:rPr>
          <w:rFonts w:hint="eastAsia"/>
          <w:u w:val="single"/>
        </w:rPr>
        <w:t>中心城区按照地震动峰值加速度0.20g，相当于地震基本烈度</w:t>
      </w:r>
      <w:r>
        <w:rPr>
          <w:rFonts w:hint="eastAsia" w:ascii="仿宋_GB2312"/>
          <w:u w:val="single"/>
        </w:rPr>
        <w:t>Ⅷ</w:t>
      </w:r>
      <w:r>
        <w:rPr>
          <w:rFonts w:hint="eastAsia"/>
          <w:u w:val="single"/>
        </w:rPr>
        <w:t>度设防。</w:t>
      </w:r>
      <w:r>
        <w:rPr>
          <w:rFonts w:hint="eastAsia"/>
        </w:rPr>
        <w:t>开展地震灾害风险评估，加强地震灾害风险普查成果应用。已完成区域性地震安全性评价区域，根据区域性地震安全性评价结果确定抗震设防要求。各类开发区、工业园区、新区和其他有条件的区域按要求开展区域性地震安全性评价，重大建设工程和可能发生严重次生灾害的建设工程必须进行地震安全性评价，并根据地震安全性评价结果确定抗震设防要求，进行抗震设防。学校、幼儿园、医院、养老机构、儿童福利机构、应急指挥中心、应急避难场所、广播电视等人员密集场所的建设工程，按照高于当地抗震设防要求进行设计和施工，重大建设工程和可能发生严重次生灾害的建设工程，按照开展地震安全性评价确定的抗震设防要求进行抗震设防。新建建筑应当按照国家有关规定采用隔震减震等技术，保证发生设防地震时能够满足正常使用要求。</w:t>
      </w:r>
    </w:p>
    <w:p w14:paraId="64BA820C">
      <w:pPr>
        <w:pStyle w:val="4"/>
      </w:pPr>
      <w:r>
        <w:rPr>
          <w:rFonts w:hint="eastAsia"/>
        </w:rPr>
        <w:t>推进疏散通道建设</w:t>
      </w:r>
    </w:p>
    <w:p w14:paraId="621BEA63">
      <w:pPr>
        <w:ind w:firstLine="640"/>
      </w:pPr>
      <w:r>
        <w:rPr>
          <w:rFonts w:hint="eastAsia"/>
        </w:rPr>
        <w:t>以干线公路网和城市干道网为疏散救援主要通道，构建生命通道体系。合理控制救援主要道路两侧建设，保障有效通行宽度不低于15米。</w:t>
      </w:r>
    </w:p>
    <w:p w14:paraId="63FBC49C">
      <w:pPr>
        <w:ind w:firstLine="640"/>
      </w:pPr>
    </w:p>
    <w:p w14:paraId="7674102B">
      <w:pPr>
        <w:pStyle w:val="4"/>
      </w:pPr>
      <w:r>
        <w:rPr>
          <w:rFonts w:hint="eastAsia"/>
        </w:rPr>
        <w:t>完善应急避难场所布局</w:t>
      </w:r>
    </w:p>
    <w:p w14:paraId="5D9D4784">
      <w:pPr>
        <w:ind w:firstLine="640"/>
      </w:pPr>
      <w:r>
        <w:rPr>
          <w:rFonts w:hint="eastAsia"/>
        </w:rPr>
        <w:t>规划中心城区建设中心避难场所。规划结合城市公园绿地、广场、学校以及文体场馆以及城镇边缘安全空地建设固定避难场所。</w:t>
      </w:r>
    </w:p>
    <w:p w14:paraId="75CD8391">
      <w:pPr>
        <w:ind w:firstLine="640"/>
      </w:pPr>
      <w:r>
        <w:rPr>
          <w:rFonts w:hint="eastAsia"/>
        </w:rPr>
        <w:t>结合现状及规划新建综合医院建设应急保障医院。各应急保障医院分别预留不低于1000平方米的开敞空间，作为灾时快速就近搭建临时医院的备用场地。</w:t>
      </w:r>
    </w:p>
    <w:p w14:paraId="683D521A">
      <w:pPr>
        <w:pStyle w:val="4"/>
      </w:pPr>
      <w:r>
        <w:rPr>
          <w:rFonts w:hint="eastAsia"/>
        </w:rPr>
        <w:t>建设消防救援设施</w:t>
      </w:r>
    </w:p>
    <w:p w14:paraId="1383962D">
      <w:pPr>
        <w:ind w:firstLine="640"/>
      </w:pPr>
      <w:r>
        <w:rPr>
          <w:rFonts w:hint="eastAsia"/>
        </w:rPr>
        <w:t>根据消防安全特点及应急救援需求，分级分类布局消防站。</w:t>
      </w:r>
    </w:p>
    <w:p w14:paraId="3A24F0F3">
      <w:pPr>
        <w:ind w:firstLine="640"/>
        <w:sectPr>
          <w:pgSz w:w="11906" w:h="16838"/>
          <w:pgMar w:top="1440" w:right="1800" w:bottom="1440" w:left="1800" w:header="851" w:footer="992" w:gutter="0"/>
          <w:cols w:space="425" w:num="1"/>
          <w:docGrid w:type="lines" w:linePitch="435" w:charSpace="0"/>
        </w:sectPr>
      </w:pPr>
    </w:p>
    <w:p w14:paraId="363C6163">
      <w:pPr>
        <w:pStyle w:val="3"/>
        <w:spacing w:before="435" w:after="435"/>
      </w:pPr>
      <w:bookmarkStart w:id="238" w:name="_Toc32664"/>
      <w:bookmarkStart w:id="239" w:name="_Toc157528363"/>
      <w:r>
        <w:rPr>
          <w:rFonts w:hint="eastAsia"/>
        </w:rPr>
        <w:t>塑造城市空间形态</w:t>
      </w:r>
      <w:bookmarkEnd w:id="238"/>
      <w:bookmarkEnd w:id="239"/>
    </w:p>
    <w:p w14:paraId="4570D4E7">
      <w:pPr>
        <w:pStyle w:val="4"/>
      </w:pPr>
      <w:r>
        <w:rPr>
          <w:rFonts w:hint="eastAsia"/>
        </w:rPr>
        <w:t>总体风貌格局</w:t>
      </w:r>
    </w:p>
    <w:p w14:paraId="14A475C4">
      <w:pPr>
        <w:ind w:firstLine="640"/>
      </w:pPr>
      <w:r>
        <w:rPr>
          <w:rFonts w:hint="eastAsia"/>
        </w:rPr>
        <w:t>香河县整体景观风貌格局为</w:t>
      </w:r>
      <w:bookmarkStart w:id="240" w:name="_Hlk144920713"/>
      <w:r>
        <w:rPr>
          <w:rFonts w:hint="eastAsia"/>
        </w:rPr>
        <w:t>“两河多廊，六片八景”</w:t>
      </w:r>
      <w:bookmarkEnd w:id="240"/>
      <w:r>
        <w:rPr>
          <w:rFonts w:hint="eastAsia"/>
        </w:rPr>
        <w:t>。</w:t>
      </w:r>
    </w:p>
    <w:p w14:paraId="04469D80">
      <w:pPr>
        <w:ind w:firstLine="640"/>
      </w:pPr>
      <w:r>
        <w:rPr>
          <w:rFonts w:hint="eastAsia"/>
        </w:rPr>
        <w:t>“两河”指环绕中心城的潮白河与北运河。对潮白河与北运河沿岸进行生态修复，建设外环郊野公园体系，形成环绕城市的生态基底。</w:t>
      </w:r>
    </w:p>
    <w:p w14:paraId="2414DAF1">
      <w:pPr>
        <w:ind w:firstLine="640"/>
      </w:pPr>
      <w:r>
        <w:rPr>
          <w:rFonts w:hint="eastAsia"/>
        </w:rPr>
        <w:t>“多廊”指贯通城市的绿道系统和景观轴线。建设城市道路系统。整理城内沟渠，布局大量亲水设施，形成丰富多彩的游赏活动空间，实现人与自然河流的良好互动；沿城市主要道路建设慢行系统，植入公共绿地。建设重要景观风貌轴线。包括五一路、运河大道、绣水街等城市主要对外交通道路，运河大道、规划N5路等滨水道路。</w:t>
      </w:r>
    </w:p>
    <w:p w14:paraId="4F20262B">
      <w:pPr>
        <w:ind w:firstLine="640"/>
      </w:pPr>
      <w:r>
        <w:rPr>
          <w:rFonts w:hint="eastAsia"/>
        </w:rPr>
        <w:t>“六片”指城市的6个风貌片区。依托风貌核心，建设六个风貌片区，分别是北运河休闲景观度假区、现代新兴产业展示区、现代文创产业聚集区、家具特色景观区、新城中心风貌区、老城传统风貌区。</w:t>
      </w:r>
    </w:p>
    <w:p w14:paraId="1F651890">
      <w:pPr>
        <w:ind w:firstLine="640"/>
      </w:pPr>
      <w:r>
        <w:rPr>
          <w:rFonts w:hint="eastAsia"/>
        </w:rPr>
        <w:t>“八景”是结合“淑阳八景”和城市特色区域打造的八个重要景观节点。</w:t>
      </w:r>
    </w:p>
    <w:p w14:paraId="046C1718">
      <w:pPr>
        <w:pStyle w:val="4"/>
      </w:pPr>
      <w:r>
        <w:rPr>
          <w:rFonts w:hint="eastAsia"/>
        </w:rPr>
        <w:t>改善城市建筑风貌</w:t>
      </w:r>
    </w:p>
    <w:p w14:paraId="41BEB1D6">
      <w:pPr>
        <w:ind w:firstLine="640"/>
      </w:pPr>
      <w:r>
        <w:rPr>
          <w:rFonts w:hint="eastAsia"/>
        </w:rPr>
        <w:t>传承中华建筑文化基因，汲取国际先进设计理念，追求建筑艺术，体现中国风格、地域风貌。</w:t>
      </w:r>
    </w:p>
    <w:p w14:paraId="4BB92879">
      <w:pPr>
        <w:ind w:firstLine="640"/>
      </w:pPr>
      <w:r>
        <w:rPr>
          <w:rFonts w:hint="eastAsia"/>
        </w:rPr>
        <w:t>积极推广绿色建筑、使用绿色建材，严谨细致做好建筑设计。形成融于自然、简洁大方、端正大气、具有东方神韵和现代气息的建筑风格。塑造比例均衡、尺度宜人的建筑体量和富有变化的建筑形态，形成协调统一、开放共享的建筑界面。</w:t>
      </w:r>
    </w:p>
    <w:p w14:paraId="7069DB4F">
      <w:pPr>
        <w:pStyle w:val="4"/>
      </w:pPr>
      <w:r>
        <w:rPr>
          <w:rFonts w:hint="eastAsia"/>
        </w:rPr>
        <w:t>建设特色风貌区</w:t>
      </w:r>
    </w:p>
    <w:p w14:paraId="1CA7D8C8">
      <w:pPr>
        <w:ind w:firstLine="640"/>
      </w:pPr>
      <w:r>
        <w:rPr>
          <w:rFonts w:hint="eastAsia"/>
        </w:rPr>
        <w:t>推进绣水街两侧家具城风貌改造提升。以金钥匙景区为核心，统筹家具城各大卖场建筑风貌，加强城市设计引导，合理布局建筑组群，优化街头公园绿地布局。</w:t>
      </w:r>
    </w:p>
    <w:p w14:paraId="799E2B04">
      <w:pPr>
        <w:ind w:firstLine="640"/>
      </w:pPr>
      <w:r>
        <w:rPr>
          <w:rFonts w:hint="eastAsia"/>
        </w:rPr>
        <w:t>改善老城区风貌特色。延续老城空间肌理，加强建筑组群形态控制，提供适宜步行的开放空间，加强建筑形式、色彩、高度、材质引导，形成兼具传统风格的现代风貌。</w:t>
      </w:r>
    </w:p>
    <w:p w14:paraId="111689D5">
      <w:pPr>
        <w:pStyle w:val="4"/>
      </w:pPr>
      <w:r>
        <w:rPr>
          <w:rFonts w:hint="eastAsia"/>
        </w:rPr>
        <w:t>明确城市高度分区</w:t>
      </w:r>
    </w:p>
    <w:p w14:paraId="34949D1F">
      <w:pPr>
        <w:ind w:firstLine="640"/>
      </w:pPr>
      <w:r>
        <w:rPr>
          <w:rFonts w:hint="eastAsia"/>
        </w:rPr>
        <w:t>强化整体平缓局部突出的县城高度特征。高铁站前区、西部新区中心建筑高度适度提高，形成城市新地标。城区内划定高层建筑管控区，合理控制建筑肌理。合理控制京唐高铁沿线、潮白河大堤南侧建筑高度，限制新建高层建筑，形成舒朗平缓的城市天际线。</w:t>
      </w:r>
    </w:p>
    <w:p w14:paraId="1952799C">
      <w:pPr>
        <w:pStyle w:val="4"/>
      </w:pPr>
      <w:r>
        <w:rPr>
          <w:rFonts w:hint="eastAsia"/>
        </w:rPr>
        <w:t>加强城市强度分区管控</w:t>
      </w:r>
    </w:p>
    <w:p w14:paraId="0C100C5F">
      <w:pPr>
        <w:ind w:firstLine="640"/>
      </w:pPr>
      <w:r>
        <w:rPr>
          <w:rFonts w:hint="eastAsia"/>
        </w:rPr>
        <w:t>落实中心城区分区指引，划定城市开发强度分区，优化城市肌理。以城市功能分区为基础确定城市开发强度分区，高强度开发区域集中在香河站站前商务区、家具城、西部公共中心等区域，集中布局高层建筑群和标志性高层建筑。中强度开发区域集中在香河站站前区南部、人民广场周边和大部分城区范围。其他地区总体控制为低强度开发。</w:t>
      </w:r>
    </w:p>
    <w:p w14:paraId="5EB762EA">
      <w:pPr>
        <w:pStyle w:val="4"/>
      </w:pPr>
      <w:r>
        <w:rPr>
          <w:rFonts w:hint="eastAsia"/>
        </w:rPr>
        <w:t>控制重要视线通廊</w:t>
      </w:r>
    </w:p>
    <w:p w14:paraId="3C5A9302">
      <w:pPr>
        <w:ind w:firstLine="640"/>
      </w:pPr>
      <w:r>
        <w:rPr>
          <w:rFonts w:hint="eastAsia"/>
        </w:rPr>
        <w:t>强化五一路、五一渠、绣水街、规划S6路、永泰路两侧视线通廊管控，保护两侧视觉景观。</w:t>
      </w:r>
    </w:p>
    <w:p w14:paraId="79C6920F">
      <w:pPr>
        <w:pStyle w:val="3"/>
        <w:spacing w:before="435" w:after="435"/>
      </w:pPr>
      <w:bookmarkStart w:id="241" w:name="_Toc137657540"/>
      <w:bookmarkEnd w:id="241"/>
      <w:bookmarkStart w:id="242" w:name="_Toc157528364"/>
      <w:bookmarkStart w:id="243" w:name="_Toc31773"/>
      <w:r>
        <w:rPr>
          <w:rFonts w:hint="eastAsia"/>
        </w:rPr>
        <w:t>推进城市更新</w:t>
      </w:r>
      <w:bookmarkEnd w:id="242"/>
      <w:bookmarkEnd w:id="243"/>
    </w:p>
    <w:p w14:paraId="51DE3D96">
      <w:pPr>
        <w:pStyle w:val="4"/>
      </w:pPr>
      <w:r>
        <w:rPr>
          <w:rFonts w:hint="eastAsia"/>
        </w:rPr>
        <w:t>划定城市更新重点区域</w:t>
      </w:r>
    </w:p>
    <w:p w14:paraId="55ED924F">
      <w:pPr>
        <w:ind w:firstLine="640"/>
        <w:rPr>
          <w:szCs w:val="32"/>
        </w:rPr>
      </w:pPr>
      <w:r>
        <w:rPr>
          <w:rFonts w:hint="eastAsia" w:ascii="仿宋_GB2312"/>
        </w:rPr>
        <w:t>严控大拆大建，坚持有机更新，以小规模、渐进式、可持续的更新方式，促进城市建设提质增效。开展城中村和老旧居住、低效工矿仓储、低效商业等用地更新整治，逐步实现城市空间布局优化、产业转型升级、居住环境改善、公共服务水平提升，实现城市高质量可持续发展。</w:t>
      </w:r>
    </w:p>
    <w:p w14:paraId="1612D358">
      <w:pPr>
        <w:pStyle w:val="4"/>
      </w:pPr>
      <w:r>
        <w:rPr>
          <w:rFonts w:hint="eastAsia"/>
        </w:rPr>
        <w:t>加强城市更新分类引导</w:t>
      </w:r>
    </w:p>
    <w:p w14:paraId="37D90028">
      <w:pPr>
        <w:ind w:firstLine="640"/>
      </w:pPr>
      <w:r>
        <w:rPr>
          <w:rFonts w:hint="eastAsia"/>
        </w:rPr>
        <w:t>结合中心城区的规划分区，依据存量类型，分时序逐步实施更新改造。重点推进社区微改造，改善居住环境、设施配套、房屋安全等。重点推进城中村改造，推动城市公共服务与基础设施建设，引进新业态、新功能，激活城市空间。重点鼓励低效工业企业腾笼换鸟、转型升级，引导低效产业用地置换，完善产业配套，促进产城融合发展。</w:t>
      </w:r>
    </w:p>
    <w:p w14:paraId="7241CF08">
      <w:pPr>
        <w:pStyle w:val="3"/>
        <w:spacing w:before="435" w:after="435"/>
      </w:pPr>
      <w:bookmarkStart w:id="244" w:name="_Toc3490"/>
      <w:bookmarkStart w:id="245" w:name="_Toc157528365"/>
      <w:r>
        <w:rPr>
          <w:rFonts w:hint="eastAsia"/>
        </w:rPr>
        <w:t>地下空间开发利用</w:t>
      </w:r>
      <w:bookmarkEnd w:id="244"/>
      <w:bookmarkEnd w:id="245"/>
    </w:p>
    <w:p w14:paraId="61B06369">
      <w:pPr>
        <w:pStyle w:val="4"/>
      </w:pPr>
      <w:r>
        <w:rPr>
          <w:rFonts w:hint="eastAsia"/>
        </w:rPr>
        <w:t>加强地下空间综合利用</w:t>
      </w:r>
    </w:p>
    <w:p w14:paraId="46E29693">
      <w:pPr>
        <w:ind w:firstLine="640"/>
      </w:pPr>
      <w:r>
        <w:rPr>
          <w:rFonts w:hint="eastAsia"/>
        </w:rPr>
        <w:t>统筹安排市政管线、综合管沟（廊）、地下车行通道等地下公共设施的空间资源分配，形成规模化的地下商业综合体、立体化的地下交通体系、集约化的地下市政设施体系和综合化的地下人防工程体系。</w:t>
      </w:r>
    </w:p>
    <w:p w14:paraId="7DB760A9">
      <w:pPr>
        <w:ind w:firstLine="640"/>
      </w:pPr>
      <w:r>
        <w:rPr>
          <w:rFonts w:hint="eastAsia"/>
        </w:rPr>
        <w:t>实行长期准备、重点建设、平战结合方针，坚持人防工程建设与人口发展相协调，与城市建设相结合，以人员掩蔽工程为主、医疗救护和专业队工程为辅、配套工程为补充，加强单建人防工程建设，依法依规推进防空地下室建设，落实城市地下交通干线及其他地下工程兼顾人防需要，推动构建布局合理、功能完备的人员防护体系。加强人防工程之间、人防工程与普通地下空间的互联互通，推动构建连片成网、四通八达的地下空间网络。</w:t>
      </w:r>
    </w:p>
    <w:p w14:paraId="7F043CBC">
      <w:pPr>
        <w:pStyle w:val="4"/>
      </w:pPr>
      <w:r>
        <w:rPr>
          <w:rFonts w:hint="eastAsia"/>
        </w:rPr>
        <w:t>推进地下空间分层利用</w:t>
      </w:r>
    </w:p>
    <w:p w14:paraId="0C6593E1">
      <w:pPr>
        <w:ind w:firstLine="640"/>
      </w:pPr>
      <w:bookmarkStart w:id="246" w:name="_Hlk156559239"/>
      <w:r>
        <w:rPr>
          <w:rFonts w:hint="eastAsia"/>
        </w:rPr>
        <w:t>重点加强中心城区地下空间分层有序使用，提高城市地下空间使用效率。划定重点地下空间管控区域，严格地下空间资源管理。地下空间开发深度应以浅层和次浅层为主，预留深层地下空间作为未来发展的战略资源。地下空间建设应优先满足人防和防灾需求，新建其他各类地下设施应兼顾人民防空需要。</w:t>
      </w:r>
      <w:bookmarkEnd w:id="246"/>
    </w:p>
    <w:p w14:paraId="33F15B9C">
      <w:pPr>
        <w:pStyle w:val="4"/>
      </w:pPr>
      <w:r>
        <w:rPr>
          <w:rFonts w:hint="eastAsia"/>
        </w:rPr>
        <w:t>明确地下空间重点建设区</w:t>
      </w:r>
    </w:p>
    <w:p w14:paraId="68DD2A77">
      <w:pPr>
        <w:ind w:firstLine="640"/>
      </w:pPr>
      <w:r>
        <w:rPr>
          <w:rFonts w:hint="eastAsia"/>
        </w:rPr>
        <w:t>京唐（京滨）城际香河站及周边围绕站城一体化开发建设，充分利用浅层地下空间建设进出站、地下商业街、下沉广场。</w:t>
      </w:r>
    </w:p>
    <w:p w14:paraId="355E5AB8">
      <w:pPr>
        <w:pStyle w:val="3"/>
        <w:spacing w:before="435" w:after="435"/>
      </w:pPr>
      <w:bookmarkStart w:id="247" w:name="_Toc157528366"/>
      <w:bookmarkStart w:id="248" w:name="_Toc24455"/>
      <w:r>
        <w:rPr>
          <w:rFonts w:hint="eastAsia"/>
        </w:rPr>
        <w:t>划定中心城区城市控制线</w:t>
      </w:r>
      <w:bookmarkEnd w:id="247"/>
      <w:bookmarkEnd w:id="248"/>
    </w:p>
    <w:p w14:paraId="78FCD3BE">
      <w:pPr>
        <w:pStyle w:val="4"/>
      </w:pPr>
      <w:r>
        <w:rPr>
          <w:rFonts w:hint="eastAsia"/>
        </w:rPr>
        <w:t>划定城市控制线</w:t>
      </w:r>
    </w:p>
    <w:p w14:paraId="5928DBE3">
      <w:pPr>
        <w:ind w:firstLine="640"/>
      </w:pPr>
      <w:r>
        <w:rPr>
          <w:rFonts w:hint="eastAsia"/>
        </w:rPr>
        <w:t>严格保护片区和组团间的绿化隔离带等非建设用地。</w:t>
      </w:r>
    </w:p>
    <w:p w14:paraId="147CC346">
      <w:pPr>
        <w:ind w:firstLine="640"/>
      </w:pPr>
      <w:r>
        <w:rPr>
          <w:rFonts w:hint="eastAsia"/>
        </w:rPr>
        <w:t>将现状排水设施、污水处理设施、垃圾转运站、垃圾焚烧厂、卫生填埋场（厂）、环境卫生车辆停车场和修造厂、环境质量监测站等市政基础设施划为城市黄线。</w:t>
      </w:r>
    </w:p>
    <w:p w14:paraId="4E7D1DE1">
      <w:pPr>
        <w:ind w:firstLine="640"/>
      </w:pPr>
      <w:r>
        <w:rPr>
          <w:rFonts w:hint="eastAsia"/>
        </w:rPr>
        <w:t>将香五自流渠、五一渠、东干渠、香绣排水干渠、香五西排水干渠等河渠水系划为城市蓝线。</w:t>
      </w:r>
    </w:p>
    <w:p w14:paraId="3F85E6C5">
      <w:pPr>
        <w:pStyle w:val="4"/>
      </w:pPr>
      <w:bookmarkStart w:id="249" w:name="_Hlk157534617"/>
      <w:r>
        <w:rPr>
          <w:rFonts w:hint="eastAsia"/>
        </w:rPr>
        <w:t>将县级以上人民政府公布的历史建筑范围界线划为城市紫线。</w:t>
      </w:r>
      <w:bookmarkEnd w:id="249"/>
      <w:r>
        <w:rPr>
          <w:rFonts w:hint="eastAsia"/>
        </w:rPr>
        <w:t>严格执行城市控制线管控要求</w:t>
      </w:r>
    </w:p>
    <w:p w14:paraId="26EE4E91">
      <w:pPr>
        <w:ind w:firstLine="640"/>
        <w:rPr>
          <w:u w:val="single"/>
        </w:rPr>
      </w:pPr>
      <w:r>
        <w:rPr>
          <w:rFonts w:hint="eastAsia"/>
          <w:u w:val="single"/>
        </w:rPr>
        <w:t>城市绿线、黄线、蓝线、紫线一经划定，不得擅自调整，范围内各项建设活动应严格按照相关管理办法实施管控。</w:t>
      </w:r>
    </w:p>
    <w:p w14:paraId="515A5105">
      <w:pPr>
        <w:ind w:firstLine="640"/>
      </w:pPr>
    </w:p>
    <w:p w14:paraId="10E31784">
      <w:pPr>
        <w:ind w:firstLine="640"/>
        <w:sectPr>
          <w:pgSz w:w="11906" w:h="16838"/>
          <w:pgMar w:top="1440" w:right="1800" w:bottom="1440" w:left="1800" w:header="851" w:footer="992" w:gutter="0"/>
          <w:cols w:space="425" w:num="1"/>
          <w:docGrid w:type="lines" w:linePitch="435" w:charSpace="0"/>
        </w:sectPr>
      </w:pPr>
    </w:p>
    <w:p w14:paraId="7309EF9A">
      <w:pPr>
        <w:pStyle w:val="2"/>
        <w:spacing w:before="1522" w:after="652"/>
        <w:rPr>
          <w:rFonts w:hint="eastAsia"/>
        </w:rPr>
      </w:pPr>
      <w:bookmarkStart w:id="250" w:name="_Toc17253"/>
      <w:bookmarkStart w:id="251" w:name="_Toc157528367"/>
      <w:r>
        <w:rPr>
          <w:rFonts w:hint="eastAsia"/>
        </w:rPr>
        <w:t>围绕大运河世界文化遗产塑造魅力体系</w:t>
      </w:r>
      <w:bookmarkEnd w:id="250"/>
      <w:bookmarkEnd w:id="251"/>
    </w:p>
    <w:p w14:paraId="5F39E02D">
      <w:pPr>
        <w:ind w:firstLine="640"/>
      </w:pPr>
      <w:r>
        <w:rPr>
          <w:rFonts w:hint="eastAsia"/>
        </w:rPr>
        <w:t>建立历史文化资源保护体系，保护历史文化空间载体，梳理文化传承脉络。围绕大运河旅游通航和大运河国家文化公园建设，推进历史文化资源的整体保护和活化利用，带动全域旅游发展，彰显香河文化魅力。</w:t>
      </w:r>
    </w:p>
    <w:p w14:paraId="4A5A1AA7">
      <w:pPr>
        <w:pStyle w:val="3"/>
        <w:spacing w:before="435" w:after="435"/>
      </w:pPr>
      <w:bookmarkStart w:id="252" w:name="_Toc1111"/>
      <w:bookmarkStart w:id="253" w:name="_Toc157528368"/>
      <w:r>
        <w:rPr>
          <w:rFonts w:hint="eastAsia"/>
        </w:rPr>
        <w:t>完善历史文化保护体系</w:t>
      </w:r>
      <w:bookmarkEnd w:id="252"/>
      <w:bookmarkEnd w:id="253"/>
    </w:p>
    <w:p w14:paraId="7DBD5F9E">
      <w:pPr>
        <w:pStyle w:val="4"/>
      </w:pPr>
      <w:r>
        <w:rPr>
          <w:rFonts w:hint="eastAsia"/>
        </w:rPr>
        <w:t>强化大运河文化遗产保护传承</w:t>
      </w:r>
    </w:p>
    <w:p w14:paraId="650A2044">
      <w:pPr>
        <w:ind w:firstLine="640"/>
      </w:pPr>
      <w:r>
        <w:rPr>
          <w:rFonts w:hint="eastAsia"/>
        </w:rPr>
        <w:t>落实世界文化遗产和文物保护法保护要求，加强北运河河道和金门闸等运河物质文化遗产保护。</w:t>
      </w:r>
    </w:p>
    <w:p w14:paraId="5084B1E2">
      <w:pPr>
        <w:ind w:firstLine="640"/>
      </w:pPr>
      <w:r>
        <w:rPr>
          <w:rFonts w:hint="eastAsia"/>
        </w:rPr>
        <w:t>推动运河非物质文化遗产保护。深入挖掘大运河非物质文化遗产内涵，搜集、整理和传承附载在运河两岸的地方戏曲、民间传说、民俗、传统技艺等非物质文化遗产。</w:t>
      </w:r>
    </w:p>
    <w:p w14:paraId="0DA91B7F">
      <w:pPr>
        <w:ind w:firstLine="640"/>
      </w:pPr>
      <w:r>
        <w:rPr>
          <w:rFonts w:hint="eastAsia"/>
        </w:rPr>
        <w:t>加快运河文化遗产的展示与利用。结合周边当代闸坝、河首、引渠等现代水利工程，推进“大运河国家文化公园特色展示园”建设。加大运河沿线非物质文化遗产的保护展示力度，鼓励将非遗引入特色村镇和景区。</w:t>
      </w:r>
    </w:p>
    <w:p w14:paraId="2B909C4C">
      <w:pPr>
        <w:pStyle w:val="4"/>
      </w:pPr>
      <w:r>
        <w:rPr>
          <w:rFonts w:hint="eastAsia"/>
        </w:rPr>
        <w:t>加强文物保护单位保护管控</w:t>
      </w:r>
    </w:p>
    <w:p w14:paraId="420B8885">
      <w:pPr>
        <w:ind w:firstLine="640"/>
      </w:pPr>
      <w:r>
        <w:rPr>
          <w:rFonts w:hint="eastAsia"/>
        </w:rPr>
        <w:t>强化大运河世界文化遗产保护，推进县域各类保护对象保护管控。文物保护单位保护范围和建设控制地带以各级人民政府公布为准。加强历史建筑保护，遵循保护利用原则，严禁拆除历史建筑改建或重建，充分发挥历史建筑价值。</w:t>
      </w:r>
    </w:p>
    <w:p w14:paraId="4FBBCDBB">
      <w:pPr>
        <w:pStyle w:val="4"/>
      </w:pPr>
      <w:r>
        <w:rPr>
          <w:rFonts w:hint="eastAsia"/>
        </w:rPr>
        <w:t>建立文化展示体系</w:t>
      </w:r>
    </w:p>
    <w:p w14:paraId="6B2E3282">
      <w:pPr>
        <w:ind w:firstLine="640"/>
      </w:pPr>
      <w:r>
        <w:rPr>
          <w:rFonts w:hint="eastAsia"/>
        </w:rPr>
        <w:t>加强文物古迹的日常养护，建设文物保护单位的安全防护体系。结合历史遗存保护，综合考虑研究、展示、延续原有功能和赋予文物古迹合适的当代功能，建设陈列馆、遗址公园等，保持其在当代社会生活中的活力与文物价值。发挥安平“第一城”文化名片价值，提升文化展示水平。</w:t>
      </w:r>
    </w:p>
    <w:p w14:paraId="4F812EF5">
      <w:pPr>
        <w:pStyle w:val="3"/>
        <w:spacing w:before="435" w:after="435"/>
      </w:pPr>
      <w:bookmarkStart w:id="254" w:name="_Toc157528369"/>
      <w:bookmarkStart w:id="255" w:name="_Toc20562"/>
      <w:r>
        <w:rPr>
          <w:rFonts w:hint="eastAsia"/>
        </w:rPr>
        <w:t>共建大运河文化公园</w:t>
      </w:r>
      <w:bookmarkEnd w:id="254"/>
      <w:bookmarkEnd w:id="255"/>
    </w:p>
    <w:p w14:paraId="29F34246">
      <w:pPr>
        <w:pStyle w:val="4"/>
      </w:pPr>
      <w:r>
        <w:rPr>
          <w:rFonts w:hint="eastAsia"/>
        </w:rPr>
        <w:t>完善运河通航设施和文化设施</w:t>
      </w:r>
    </w:p>
    <w:p w14:paraId="74424607">
      <w:pPr>
        <w:ind w:firstLine="640"/>
      </w:pPr>
      <w:r>
        <w:rPr>
          <w:rFonts w:hint="eastAsia"/>
        </w:rPr>
        <w:t>建设通航游船码头。结合旅游码头预留旅游设施用地用于停车场建设。</w:t>
      </w:r>
    </w:p>
    <w:p w14:paraId="2D856923">
      <w:pPr>
        <w:ind w:firstLine="640"/>
      </w:pPr>
      <w:r>
        <w:rPr>
          <w:rFonts w:hint="eastAsia"/>
        </w:rPr>
        <w:t>建设通航文化设施。</w:t>
      </w:r>
    </w:p>
    <w:p w14:paraId="721F4173">
      <w:pPr>
        <w:pStyle w:val="4"/>
      </w:pPr>
      <w:r>
        <w:rPr>
          <w:rFonts w:hint="eastAsia"/>
        </w:rPr>
        <w:t>分段塑造大运河文化休闲脉络</w:t>
      </w:r>
    </w:p>
    <w:p w14:paraId="341EBB89">
      <w:pPr>
        <w:ind w:firstLine="640"/>
      </w:pPr>
      <w:r>
        <w:rPr>
          <w:rFonts w:hint="eastAsia"/>
        </w:rPr>
        <w:t>北段塑造“大水厚绿、鸥鹭翔集”的森林风貌。</w:t>
      </w:r>
    </w:p>
    <w:p w14:paraId="1A0D39D5">
      <w:pPr>
        <w:ind w:firstLine="640"/>
      </w:pPr>
      <w:r>
        <w:rPr>
          <w:rFonts w:hint="eastAsia"/>
        </w:rPr>
        <w:t>中段塑造“十里烟柳、云帆霄鼓”的休闲风貌。</w:t>
      </w:r>
    </w:p>
    <w:p w14:paraId="087069AA">
      <w:pPr>
        <w:ind w:firstLine="640"/>
      </w:pPr>
      <w:r>
        <w:rPr>
          <w:rFonts w:hint="eastAsia"/>
        </w:rPr>
        <w:t>南段塑造“带水绕田、沃野欢歌”的田园风光。</w:t>
      </w:r>
    </w:p>
    <w:p w14:paraId="62EC2E85">
      <w:pPr>
        <w:pStyle w:val="3"/>
        <w:spacing w:before="435" w:after="435"/>
      </w:pPr>
      <w:bookmarkStart w:id="256" w:name="_Toc669"/>
      <w:bookmarkStart w:id="257" w:name="_Toc157528370"/>
      <w:bookmarkStart w:id="258" w:name="_Toc150008799"/>
      <w:r>
        <w:rPr>
          <w:rFonts w:hint="eastAsia"/>
        </w:rPr>
        <w:t>塑造特色鲜明的的城乡风貌</w:t>
      </w:r>
      <w:bookmarkEnd w:id="256"/>
      <w:bookmarkEnd w:id="257"/>
      <w:bookmarkEnd w:id="258"/>
    </w:p>
    <w:p w14:paraId="0FA99325">
      <w:pPr>
        <w:pStyle w:val="4"/>
      </w:pPr>
      <w:r>
        <w:rPr>
          <w:rFonts w:hint="eastAsia"/>
        </w:rPr>
        <w:t>塑造丰富的滨河景观</w:t>
      </w:r>
    </w:p>
    <w:p w14:paraId="777EABE9">
      <w:pPr>
        <w:ind w:firstLine="640"/>
        <w:rPr>
          <w:color w:val="000000"/>
        </w:rPr>
      </w:pPr>
      <w:r>
        <w:rPr>
          <w:rFonts w:hint="eastAsia" w:ascii="仿宋_GB2312" w:hAnsi="仿宋_GB2312" w:cs="仿宋_GB2312"/>
        </w:rPr>
        <w:t>沿五一渠布局城市开敞空间，</w:t>
      </w:r>
      <w:r>
        <w:rPr>
          <w:rFonts w:hint="eastAsia"/>
        </w:rPr>
        <w:t>建设城市滨河景观走廊。沿</w:t>
      </w:r>
      <w:r>
        <w:rPr>
          <w:rFonts w:hint="eastAsia" w:ascii="仿宋_GB2312" w:hAnsi="仿宋_GB2312" w:cs="仿宋_GB2312"/>
        </w:rPr>
        <w:t>潮白河和北运河</w:t>
      </w:r>
      <w:r>
        <w:rPr>
          <w:rFonts w:hint="eastAsia"/>
          <w:color w:val="000000"/>
        </w:rPr>
        <w:t>以农田、绿道等形式营建生态廊道，保持河流两侧景观的丰富度和自然清新的田园风貌，展示蓝绿交织、农耕文化厚重的多彩大地景观。</w:t>
      </w:r>
    </w:p>
    <w:p w14:paraId="1DFCAF3A">
      <w:pPr>
        <w:pStyle w:val="4"/>
      </w:pPr>
      <w:r>
        <w:rPr>
          <w:rFonts w:hint="eastAsia"/>
        </w:rPr>
        <w:t>打造特色城镇风貌</w:t>
      </w:r>
    </w:p>
    <w:p w14:paraId="0C687287">
      <w:pPr>
        <w:ind w:firstLine="640"/>
      </w:pPr>
      <w:bookmarkStart w:id="259" w:name="_Hlk156559193"/>
      <w:r>
        <w:rPr>
          <w:rFonts w:hint="eastAsia"/>
        </w:rPr>
        <w:t>推进组团式城镇布局，强化城绿交融，将县域良好的蓝绿空间网络引入城市。加强城镇空间尺度管控，打造宜人街区，建设突出小城风貌的精品建筑。</w:t>
      </w:r>
    </w:p>
    <w:bookmarkEnd w:id="259"/>
    <w:p w14:paraId="38AB5FAA">
      <w:pPr>
        <w:pStyle w:val="4"/>
      </w:pPr>
      <w:r>
        <w:rPr>
          <w:rFonts w:hint="eastAsia"/>
        </w:rPr>
        <w:t>营造乡村特色风貌</w:t>
      </w:r>
    </w:p>
    <w:p w14:paraId="5B924498">
      <w:pPr>
        <w:ind w:firstLine="640"/>
      </w:pPr>
      <w:r>
        <w:rPr>
          <w:rFonts w:hint="eastAsia"/>
        </w:rPr>
        <w:t>在保护农田、林网、水系、村庄肌理的基础上，结合传统农业、现代农业和农林文旅的发展，塑造果园、花海等不同主题的农业景观，建设各具特色的田园乡村风貌区。乡村聚落注重保持具有地方特色的乡土生活气息和传统风貌，对村庄景观环境进行整治和美化，塑造尺度宜人、舒适优美的人居环境。</w:t>
      </w:r>
    </w:p>
    <w:p w14:paraId="4330F223">
      <w:pPr>
        <w:ind w:firstLine="640"/>
      </w:pPr>
    </w:p>
    <w:p w14:paraId="155E7102">
      <w:pPr>
        <w:ind w:firstLine="640"/>
        <w:sectPr>
          <w:pgSz w:w="11906" w:h="16838"/>
          <w:pgMar w:top="1440" w:right="1800" w:bottom="1440" w:left="1800" w:header="851" w:footer="992" w:gutter="0"/>
          <w:cols w:space="425" w:num="1"/>
          <w:docGrid w:type="lines" w:linePitch="435" w:charSpace="0"/>
        </w:sectPr>
      </w:pPr>
    </w:p>
    <w:p w14:paraId="632221E1">
      <w:pPr>
        <w:pStyle w:val="2"/>
        <w:spacing w:before="1522" w:after="652"/>
        <w:rPr>
          <w:rFonts w:hint="eastAsia"/>
        </w:rPr>
      </w:pPr>
      <w:bookmarkStart w:id="260" w:name="_Toc137657551"/>
      <w:bookmarkEnd w:id="260"/>
      <w:bookmarkStart w:id="261" w:name="_Toc137657550"/>
      <w:bookmarkEnd w:id="261"/>
      <w:bookmarkStart w:id="262" w:name="_Toc137657548"/>
      <w:bookmarkEnd w:id="262"/>
      <w:bookmarkStart w:id="263" w:name="_Toc137657552"/>
      <w:bookmarkEnd w:id="263"/>
      <w:bookmarkStart w:id="264" w:name="_Toc137657549"/>
      <w:bookmarkEnd w:id="264"/>
      <w:bookmarkStart w:id="265" w:name="_Toc137657553"/>
      <w:bookmarkEnd w:id="265"/>
      <w:bookmarkStart w:id="266" w:name="_Toc8438"/>
      <w:bookmarkStart w:id="267" w:name="_Toc157528371"/>
      <w:r>
        <w:rPr>
          <w:rFonts w:hint="eastAsia"/>
        </w:rPr>
        <w:t>保障重大基础设施建设</w:t>
      </w:r>
      <w:bookmarkEnd w:id="266"/>
      <w:bookmarkEnd w:id="267"/>
    </w:p>
    <w:p w14:paraId="2F7AB1DF">
      <w:pPr>
        <w:ind w:firstLine="640"/>
      </w:pPr>
      <w:r>
        <w:rPr>
          <w:rFonts w:hint="eastAsia"/>
        </w:rPr>
        <w:t>保障重大基础设施空间，遵循高效、安全、绿色、智能理念，加快构建与国土空间开发保护格局相适应、与发展阶段相匹配的基础设施支撑体系，全面提升基础设施现代化水平和综合保障能力，提升国土空间韧性。</w:t>
      </w:r>
    </w:p>
    <w:p w14:paraId="11067887">
      <w:pPr>
        <w:pStyle w:val="3"/>
        <w:spacing w:before="435" w:after="435"/>
      </w:pPr>
      <w:bookmarkStart w:id="268" w:name="_Toc32370"/>
      <w:bookmarkStart w:id="269" w:name="_Toc157528372"/>
      <w:r>
        <w:rPr>
          <w:rFonts w:hint="eastAsia"/>
        </w:rPr>
        <w:t>建立畅达便捷综合交通体系</w:t>
      </w:r>
      <w:bookmarkEnd w:id="268"/>
      <w:bookmarkEnd w:id="269"/>
    </w:p>
    <w:p w14:paraId="404A9594">
      <w:pPr>
        <w:pStyle w:val="4"/>
      </w:pPr>
      <w:r>
        <w:rPr>
          <w:rFonts w:hint="eastAsia"/>
        </w:rPr>
        <w:t>融入京津冀城市群的畅达轨道交通</w:t>
      </w:r>
    </w:p>
    <w:p w14:paraId="085933FF">
      <w:pPr>
        <w:ind w:firstLine="640"/>
      </w:pPr>
      <w:r>
        <w:rPr>
          <w:rFonts w:hint="eastAsia"/>
        </w:rPr>
        <w:t>规划香河县形成“一横两纵”的城际铁路网络，实现对京津冀城市群的高效融入。“一横”为廊香城际；“两纵”为京唐（京滨）城际、环北京城际联络线（预留），实现对京津冀各中心城市、雄安新区、三大枢纽机场（北京首都机场、北京大兴机场、天津滨海机场）的便捷通达。</w:t>
      </w:r>
    </w:p>
    <w:p w14:paraId="612C8052">
      <w:pPr>
        <w:pStyle w:val="4"/>
      </w:pPr>
      <w:r>
        <w:rPr>
          <w:rFonts w:hint="eastAsia"/>
        </w:rPr>
        <w:t>完善高速公路路网</w:t>
      </w:r>
    </w:p>
    <w:p w14:paraId="15EBEABC">
      <w:pPr>
        <w:ind w:firstLine="640"/>
      </w:pPr>
      <w:r>
        <w:rPr>
          <w:rFonts w:hint="eastAsia"/>
        </w:rPr>
        <w:t>构建“一横两纵”高速公路网络。一横即京哈高速公路，两纵为密涿高速和密涿京沪联络线（京沪高速公路北延线），改善香河对外交通联系。预留京哈高速拓宽空间，分担区域过境交通压力。</w:t>
      </w:r>
    </w:p>
    <w:p w14:paraId="28D4B255">
      <w:pPr>
        <w:pStyle w:val="4"/>
      </w:pPr>
      <w:r>
        <w:rPr>
          <w:rFonts w:hint="eastAsia"/>
        </w:rPr>
        <w:t>优化提升干线公路网</w:t>
      </w:r>
    </w:p>
    <w:p w14:paraId="02CA3149">
      <w:pPr>
        <w:ind w:firstLine="640"/>
      </w:pPr>
      <w:r>
        <w:rPr>
          <w:rFonts w:hint="eastAsia"/>
        </w:rPr>
        <w:t>推进香河运河大道北延，打造县域西部南北交通快速通道，形成直接衔接密涿高速等区域高速公路网的快速通道，同时与密涿高速共同形成联系大兴机场、雄安新区的快速通道，与京平高速共同形成至首都机场的快速通道。东西向打通安石路、通武线，加强与现状道路连通。</w:t>
      </w:r>
    </w:p>
    <w:p w14:paraId="21D17F29">
      <w:pPr>
        <w:pStyle w:val="4"/>
      </w:pPr>
      <w:r>
        <w:rPr>
          <w:rFonts w:hint="eastAsia"/>
        </w:rPr>
        <w:t>建设区域客运枢纽</w:t>
      </w:r>
    </w:p>
    <w:p w14:paraId="7D07FFDD">
      <w:pPr>
        <w:ind w:firstLine="640"/>
      </w:pPr>
      <w:r>
        <w:rPr>
          <w:rFonts w:hint="eastAsia"/>
        </w:rPr>
        <w:t>结合香河站布局客运枢纽，提升香河县的城际铁路服务水平。结合环北京城际联络线，预留香河东站。</w:t>
      </w:r>
    </w:p>
    <w:p w14:paraId="36EFCC6E">
      <w:pPr>
        <w:ind w:firstLine="640"/>
      </w:pPr>
      <w:r>
        <w:rPr>
          <w:rFonts w:hint="eastAsia"/>
        </w:rPr>
        <w:t>依托京哈高速完善香河县通达北京中心城区的快速公交服务。结合铁路客运站、公路客运站及重要跨界轨道交通站点，布局县级枢纽。结合功能中心、城市轨道站点、快速公交系统、重要旅游景点等，规划布局片区级公交枢纽站。</w:t>
      </w:r>
    </w:p>
    <w:p w14:paraId="28825747">
      <w:pPr>
        <w:pStyle w:val="4"/>
      </w:pPr>
      <w:r>
        <w:rPr>
          <w:rFonts w:hint="eastAsia"/>
        </w:rPr>
        <w:t>完善物流设施布局</w:t>
      </w:r>
    </w:p>
    <w:p w14:paraId="1407DF0B">
      <w:pPr>
        <w:ind w:firstLine="640"/>
      </w:pPr>
      <w:r>
        <w:rPr>
          <w:rFonts w:hint="eastAsia"/>
        </w:rPr>
        <w:t>依托高快速路系统，建设服务京津生活保障的物流园区和引导家具等专业化物流聚集的商贸物流园区。基于物流需求和交通区位布局配送中心。</w:t>
      </w:r>
    </w:p>
    <w:p w14:paraId="5DD8D289">
      <w:pPr>
        <w:pStyle w:val="3"/>
        <w:spacing w:before="435" w:after="435"/>
      </w:pPr>
      <w:bookmarkStart w:id="270" w:name="_Toc157528373"/>
      <w:bookmarkStart w:id="271" w:name="_Toc29655"/>
      <w:r>
        <w:rPr>
          <w:rFonts w:hint="eastAsia"/>
        </w:rPr>
        <w:t>完善资源能源基础设施布局</w:t>
      </w:r>
      <w:bookmarkEnd w:id="270"/>
      <w:bookmarkEnd w:id="271"/>
    </w:p>
    <w:p w14:paraId="6211B4D3">
      <w:pPr>
        <w:pStyle w:val="4"/>
      </w:pPr>
      <w:r>
        <w:rPr>
          <w:rFonts w:hint="eastAsia"/>
        </w:rPr>
        <w:t>完善供电系统</w:t>
      </w:r>
    </w:p>
    <w:p w14:paraId="5C52E16F">
      <w:pPr>
        <w:ind w:firstLine="640"/>
      </w:pPr>
      <w:r>
        <w:rPr>
          <w:rFonts w:hint="eastAsia"/>
        </w:rPr>
        <w:t>规划500千伏变电站廊坊北站。香河县规划布置220千伏变电站、110千伏变电站，新增和改造110千伏线路。</w:t>
      </w:r>
    </w:p>
    <w:p w14:paraId="729F56E8">
      <w:pPr>
        <w:pStyle w:val="4"/>
      </w:pPr>
      <w:r>
        <w:rPr>
          <w:rFonts w:hint="eastAsia"/>
        </w:rPr>
        <w:t>健全市政燃气输配系统</w:t>
      </w:r>
    </w:p>
    <w:p w14:paraId="5D94A784">
      <w:pPr>
        <w:ind w:firstLine="640"/>
      </w:pPr>
      <w:r>
        <w:rPr>
          <w:rFonts w:hint="eastAsia"/>
        </w:rPr>
        <w:t>规划香河县形成多方向、多气源的外部长输管道气源格局，保障气源供应充足、场站布置合理、压力级制高效、主干管网可靠。</w:t>
      </w:r>
    </w:p>
    <w:p w14:paraId="2AEB69CA">
      <w:pPr>
        <w:pStyle w:val="4"/>
      </w:pPr>
      <w:r>
        <w:rPr>
          <w:rFonts w:hint="eastAsia"/>
        </w:rPr>
        <w:t>建设现代化供热系统</w:t>
      </w:r>
    </w:p>
    <w:p w14:paraId="3ECA3DA7">
      <w:pPr>
        <w:ind w:firstLine="640"/>
      </w:pPr>
      <w:r>
        <w:rPr>
          <w:rFonts w:hint="eastAsia"/>
        </w:rPr>
        <w:t>香河县供热方式以区域能源站与天然气集中锅炉房为主，天然气分散锅炉房及可再生能源为辅。规划新建能源站，规划改造现状燃煤锅炉房为燃气锅炉房镇区新建区域能源站。</w:t>
      </w:r>
    </w:p>
    <w:p w14:paraId="372CCAF3">
      <w:pPr>
        <w:pStyle w:val="4"/>
      </w:pPr>
      <w:r>
        <w:rPr>
          <w:rFonts w:hint="eastAsia"/>
        </w:rPr>
        <w:t>保障用水安全</w:t>
      </w:r>
    </w:p>
    <w:p w14:paraId="6259413A">
      <w:pPr>
        <w:ind w:firstLine="640"/>
      </w:pPr>
      <w:r>
        <w:rPr>
          <w:rFonts w:hint="eastAsia"/>
        </w:rPr>
        <w:t>保障供水设施落位。规划至2035年，香河县公共供水全部由地表水厂承担，规划改扩建地表水源供水厂。新建、扩建地下水源供水厂。</w:t>
      </w:r>
      <w:r>
        <w:rPr>
          <w:rStyle w:val="69"/>
          <w:rFonts w:hint="eastAsia"/>
        </w:rPr>
        <w:t>推动供水设施共建共享。</w:t>
      </w:r>
    </w:p>
    <w:p w14:paraId="152845BC">
      <w:pPr>
        <w:pStyle w:val="4"/>
      </w:pPr>
      <w:r>
        <w:rPr>
          <w:rFonts w:hint="eastAsia"/>
        </w:rPr>
        <w:t>优化水处理体系</w:t>
      </w:r>
    </w:p>
    <w:p w14:paraId="4507F3D8">
      <w:pPr>
        <w:ind w:firstLine="640"/>
      </w:pPr>
      <w:r>
        <w:rPr>
          <w:rStyle w:val="69"/>
          <w:rFonts w:hint="eastAsia"/>
        </w:rPr>
        <w:t>完善雨水系统。</w:t>
      </w:r>
      <w:r>
        <w:rPr>
          <w:rFonts w:hint="eastAsia"/>
        </w:rPr>
        <w:t>雨水排水体制采用完全雨污分流制，近期老城区未改造片区可保留截流式合流制的排水管道，加快推进雨污分流改造，新建区域均采用雨污分流的排水体制，远期全面实现分流制。</w:t>
      </w:r>
    </w:p>
    <w:p w14:paraId="10D3BBDB">
      <w:pPr>
        <w:ind w:firstLine="640"/>
      </w:pPr>
      <w:r>
        <w:rPr>
          <w:rFonts w:hint="eastAsia"/>
        </w:rPr>
        <w:t>全县以镇为单位划分污水处理分区，布置污水处理厂，满足香河县污水处理需求。保留现状、规划扩建、提标改造现状污水处理厂，新建污水处理厂乡镇污水处理站。</w:t>
      </w:r>
      <w:r>
        <w:rPr>
          <w:rStyle w:val="69"/>
          <w:rFonts w:hint="eastAsia"/>
        </w:rPr>
        <w:t>营造再生水系统。</w:t>
      </w:r>
      <w:r>
        <w:rPr>
          <w:rFonts w:hint="eastAsia"/>
        </w:rPr>
        <w:t>再生水水源来自香河县污水厂处理尾水。</w:t>
      </w:r>
    </w:p>
    <w:p w14:paraId="25DA77C8">
      <w:pPr>
        <w:pStyle w:val="4"/>
      </w:pPr>
      <w:r>
        <w:rPr>
          <w:rFonts w:hint="eastAsia"/>
        </w:rPr>
        <w:t>合理布局垃圾处理设施</w:t>
      </w:r>
    </w:p>
    <w:p w14:paraId="4932087A">
      <w:pPr>
        <w:ind w:firstLine="640"/>
      </w:pPr>
      <w:r>
        <w:rPr>
          <w:rFonts w:hint="eastAsia"/>
        </w:rPr>
        <w:t>规划扩建或新建厨余垃圾处理厂，因地制宜建设厨余垃圾就地处理项目，粪便由粪便消纳站无害化处置；规划建设有害垃圾暂存点及可回收物分拣中心；医疗危废由无害化处理中心处置。规划新建香河县垃圾焚烧发电厂。</w:t>
      </w:r>
    </w:p>
    <w:p w14:paraId="1F7BFB7A">
      <w:pPr>
        <w:ind w:firstLine="640"/>
      </w:pPr>
      <w:r>
        <w:rPr>
          <w:rFonts w:hint="eastAsia"/>
        </w:rPr>
        <w:t>规划香河县建筑垃圾资源化处置项目、中心餐厨资源化厂。县域各镇建设固定式垃圾中转站；规划污泥处置中心，统筹处置城乡污水厂污泥；规划粪便消纳站与污水处理合建。</w:t>
      </w:r>
    </w:p>
    <w:p w14:paraId="6A601C5C">
      <w:pPr>
        <w:pStyle w:val="4"/>
      </w:pPr>
      <w:r>
        <w:rPr>
          <w:rFonts w:hint="eastAsia"/>
        </w:rPr>
        <w:t>系统布局信息基础设施</w:t>
      </w:r>
    </w:p>
    <w:p w14:paraId="3CECC9AC">
      <w:pPr>
        <w:ind w:firstLine="640"/>
      </w:pPr>
      <w:r>
        <w:rPr>
          <w:rFonts w:hint="eastAsia"/>
        </w:rPr>
        <w:t>建成较为完备的光纤宽带和无线网络，打造高速泛在、畅通便捷的信息网络和服务网络，同时提供低时延和高可靠的信息交互能力，完成对重要基础设施的数据采集和实时监测。</w:t>
      </w:r>
    </w:p>
    <w:p w14:paraId="7C8E4EEE">
      <w:pPr>
        <w:pStyle w:val="4"/>
      </w:pPr>
      <w:r>
        <w:rPr>
          <w:rFonts w:hint="eastAsia"/>
        </w:rPr>
        <w:t>统筹布局市政廊道</w:t>
      </w:r>
    </w:p>
    <w:p w14:paraId="7A76EA08">
      <w:pPr>
        <w:ind w:firstLine="640"/>
      </w:pPr>
      <w:r>
        <w:rPr>
          <w:rFonts w:hint="eastAsia"/>
        </w:rPr>
        <w:t>规划香河县预留由曹妃甸海水淡化厂至北京亦庄水厂的输水管线通道。南水北调干渠暗渠两侧禁止污染物排放。</w:t>
      </w:r>
    </w:p>
    <w:p w14:paraId="3EFD3290">
      <w:pPr>
        <w:ind w:firstLine="640"/>
      </w:pPr>
      <w:r>
        <w:rPr>
          <w:rFonts w:hint="eastAsia"/>
        </w:rPr>
        <w:t>香河规划保留北京东变电站—青县流河镇段1000千伏电力线路。预留规划1000千伏北京东变电站—廊坊北</w:t>
      </w:r>
      <w:r>
        <w:t>500</w:t>
      </w:r>
      <w:r>
        <w:rPr>
          <w:rFonts w:hint="eastAsia"/>
        </w:rPr>
        <w:t>千伏变电站—通州500千伏变电站廊道。</w:t>
      </w:r>
    </w:p>
    <w:p w14:paraId="12898952">
      <w:pPr>
        <w:ind w:firstLine="640"/>
      </w:pPr>
      <w:r>
        <w:rPr>
          <w:rFonts w:hint="eastAsia"/>
        </w:rPr>
        <w:t>规划香河燃气能源站—西集—北京副中心区域供热长输通道。</w:t>
      </w:r>
    </w:p>
    <w:p w14:paraId="29D888C8">
      <w:pPr>
        <w:ind w:firstLine="640"/>
      </w:pPr>
      <w:r>
        <w:rPr>
          <w:rFonts w:hint="eastAsia"/>
        </w:rPr>
        <w:t>规划陕京四线燃气长输管线，按照相关标准控制安全防护距离。</w:t>
      </w:r>
    </w:p>
    <w:p w14:paraId="730418A0">
      <w:pPr>
        <w:pStyle w:val="3"/>
        <w:spacing w:before="435" w:after="435"/>
      </w:pPr>
      <w:bookmarkStart w:id="272" w:name="_Toc157528374"/>
      <w:bookmarkStart w:id="273" w:name="_Toc968"/>
      <w:r>
        <w:rPr>
          <w:rFonts w:hint="eastAsia"/>
        </w:rPr>
        <w:t>构建综合安全防灾体系</w:t>
      </w:r>
      <w:bookmarkEnd w:id="272"/>
      <w:bookmarkEnd w:id="273"/>
    </w:p>
    <w:p w14:paraId="7F31A643">
      <w:pPr>
        <w:pStyle w:val="4"/>
      </w:pPr>
      <w:r>
        <w:rPr>
          <w:rFonts w:hint="eastAsia"/>
        </w:rPr>
        <w:t>综合防灾设防标准</w:t>
      </w:r>
    </w:p>
    <w:p w14:paraId="2EC44729">
      <w:pPr>
        <w:ind w:firstLine="640"/>
      </w:pPr>
      <w:r>
        <w:rPr>
          <w:rFonts w:hint="eastAsia"/>
        </w:rPr>
        <w:t>加强本区域地震活动断层探测，按照有关标准和规范进行地震活动断层避让。开展地震灾害风险评估，加强地震灾害风险普查成果应用。</w:t>
      </w:r>
    </w:p>
    <w:p w14:paraId="3AEABC3F">
      <w:pPr>
        <w:ind w:firstLine="640"/>
      </w:pPr>
      <w:r>
        <w:rPr>
          <w:rFonts w:hint="eastAsia"/>
          <w:u w:val="single"/>
        </w:rPr>
        <w:t>香河县按照地震动峰值加速度</w:t>
      </w:r>
      <w:r>
        <w:rPr>
          <w:u w:val="single"/>
        </w:rPr>
        <w:t>0.20g</w:t>
      </w:r>
      <w:r>
        <w:rPr>
          <w:rFonts w:hint="eastAsia"/>
          <w:u w:val="single"/>
        </w:rPr>
        <w:t>，相当于地震基本烈度</w:t>
      </w:r>
      <w:r>
        <w:rPr>
          <w:rFonts w:hint="eastAsia" w:ascii="仿宋_GB2312"/>
          <w:u w:val="single"/>
        </w:rPr>
        <w:t>Ⅷ</w:t>
      </w:r>
      <w:r>
        <w:rPr>
          <w:rFonts w:hint="eastAsia"/>
          <w:u w:val="single"/>
        </w:rPr>
        <w:t>度设防。</w:t>
      </w:r>
      <w:r>
        <w:rPr>
          <w:rFonts w:hint="eastAsia"/>
        </w:rPr>
        <w:t>新建、扩建、改建的建设工程，一般建设工程按照不低于当地基本抗震设防烈度进行抗震设防。学校、幼儿园、医院、商场、交通枢纽等人员密集场所的建设工程，按照高于当地抗震设防要求进行设计和施工。重大建设工程和可能发生严重次生灾害的建设工程，按照开展地震安全性评价确定的抗震设防要求进行抗震设防。各类开发区、工业园区、新区和其他有条件的区域按要求开展区域性地震安全性评价。</w:t>
      </w:r>
    </w:p>
    <w:p w14:paraId="5A449A3F">
      <w:pPr>
        <w:ind w:firstLine="640"/>
      </w:pPr>
      <w:r>
        <w:rPr>
          <w:rFonts w:hint="eastAsia"/>
        </w:rPr>
        <w:t>加强地震监测基础设施和地震预警台网建设，依法保护现有地震观测台站。加快形成地震预警服务能力，建立全县和行业结合的专用地震预警信息播发和接收系统，实现高铁、枢纽变电站、油气管线、大型危化企业等重点工程和学校、医院、商场、车站、机场、影剧院等人员密集场所的地震预警应急处置。</w:t>
      </w:r>
    </w:p>
    <w:p w14:paraId="46BFBCE4">
      <w:pPr>
        <w:ind w:firstLine="640"/>
      </w:pPr>
      <w:r>
        <w:rPr>
          <w:rFonts w:hint="eastAsia"/>
        </w:rPr>
        <w:t>利用自然灾害风险普查成果，开展自然灾害风险评估，统筹划定自然灾害风险防控线。</w:t>
      </w:r>
    </w:p>
    <w:p w14:paraId="44BE5FCD">
      <w:pPr>
        <w:pStyle w:val="4"/>
      </w:pPr>
      <w:r>
        <w:rPr>
          <w:rFonts w:hint="eastAsia"/>
        </w:rPr>
        <w:t>加强气象探测环境保护与气象灾害防御</w:t>
      </w:r>
    </w:p>
    <w:p w14:paraId="566E27AB">
      <w:pPr>
        <w:ind w:firstLine="640"/>
      </w:pPr>
      <w:r>
        <w:rPr>
          <w:rFonts w:hint="eastAsia"/>
        </w:rPr>
        <w:t>编制气象探测环境保护专项规划，在气象探测环境保护范围内新建、改建、扩建建设项目应避免危害探测环境，确保气象探测资料真实有效。编制气象灾害防御规划和气象灾害风险区划，加强气象灾害的监测、预警、预报及防御应急处置工作，提高气象灾害防御能力。</w:t>
      </w:r>
    </w:p>
    <w:p w14:paraId="5AF4B00C">
      <w:pPr>
        <w:pStyle w:val="4"/>
      </w:pPr>
      <w:r>
        <w:rPr>
          <w:rFonts w:hint="eastAsia"/>
        </w:rPr>
        <w:t>完善各类防灾</w:t>
      </w:r>
      <w:r>
        <w:t>避难场所</w:t>
      </w:r>
      <w:r>
        <w:rPr>
          <w:rFonts w:hint="eastAsia"/>
        </w:rPr>
        <w:t>布局</w:t>
      </w:r>
    </w:p>
    <w:p w14:paraId="24B5027E">
      <w:pPr>
        <w:ind w:firstLine="640"/>
      </w:pPr>
      <w:r>
        <w:rPr>
          <w:rFonts w:hint="eastAsia"/>
        </w:rPr>
        <w:t>规划香河体育馆作为中心避难场所。结合城市公园绿地、广场、学校以及文体场馆以及城镇边缘安全空地建设固定避难场所，满足大灾及巨灾情景下应急指挥、救援队驻扎、避难人口固定避难需求。利用固定避难场所、中心避难场所、城市公园绿地、广场、学校操场、街头绿地等室外开敞空间作为紧急避难场所。</w:t>
      </w:r>
    </w:p>
    <w:p w14:paraId="2F048BB1">
      <w:pPr>
        <w:pStyle w:val="4"/>
      </w:pPr>
      <w:r>
        <w:rPr>
          <w:rFonts w:hint="eastAsia"/>
        </w:rPr>
        <w:t>完善防灾设施布局</w:t>
      </w:r>
    </w:p>
    <w:p w14:paraId="4F2D5817">
      <w:pPr>
        <w:ind w:firstLine="640"/>
      </w:pPr>
      <w:r>
        <w:rPr>
          <w:rFonts w:hint="eastAsia"/>
        </w:rPr>
        <w:t>应急医疗卫生设施。以城市综合医院为主，避难场所周边的社区、乡镇卫生服务设施为辅，建设应急医疗救护体系，满足危重伤员救治、应急医疗救援、外来应急医疗支援保障等功能布局要求。香河结合现状及规划新建综合医院建设应急保障医院。</w:t>
      </w:r>
    </w:p>
    <w:p w14:paraId="19994CAA">
      <w:pPr>
        <w:ind w:firstLine="640"/>
      </w:pPr>
      <w:r>
        <w:rPr>
          <w:rFonts w:hint="eastAsia"/>
        </w:rPr>
        <w:t>消防救援设施。按照全面覆盖、分级配置、集约高效、弹性发展的原则优化消防站布局，全面保障香河地区城镇、乡村、水域、林带等区域消防救援需求，缩短救援响应时间，实现城乡消防救援高效覆盖。根据消防安全特点及应急救援需求，分级分类布局消防站。</w:t>
      </w:r>
    </w:p>
    <w:p w14:paraId="6AF30846">
      <w:pPr>
        <w:pStyle w:val="4"/>
      </w:pPr>
      <w:r>
        <w:rPr>
          <w:rFonts w:hint="eastAsia"/>
        </w:rPr>
        <w:t>保障人防设施建设</w:t>
      </w:r>
    </w:p>
    <w:p w14:paraId="4F653686">
      <w:pPr>
        <w:ind w:firstLine="640"/>
      </w:pPr>
      <w:r>
        <w:rPr>
          <w:rFonts w:hint="eastAsia"/>
        </w:rPr>
        <w:t>设立县级指挥所</w:t>
      </w:r>
      <w:r>
        <w:t>1</w:t>
      </w:r>
      <w:r>
        <w:rPr>
          <w:rFonts w:hint="eastAsia"/>
        </w:rPr>
        <w:t>个，配置通讯、消防、医疗、运输、抢修、物资等专业工程，各镇设立指挥办公室，形成防护体系。人防工程布置应充分利用地形、地物，优化专业工程队的设置。医疗救护工程以防护体系为单位布置在交通便利地区。人员隐避工程尽量靠近人员集中地区。重大交通设施应修建地下物资库和地下通道。人员防护工程体系。加强经济建设项目贯彻国防要求，坚持平时与战时相结合、地上与地下相结合、人防设施与城市基础设施相结合。交通枢纽、综合管廊、地下轨道等工程建设，城市广场、绿地、道路等地下空间开发应兼顾人民防空设防要求，实现军民兼用，平灾兼用。实行长期准备、重点建设、平战结合方针，坚持人防工程建设与人口发展相协调，与城市建设相结合，以人员掩蔽工程为主、医疗救护和专业队工程为辅、配套工程为补充，加强单建人防工程建设，依法依规推进防空地下室建设，落实城市地下交通干线及其他地下工程兼顾人防需要，推动构建布局合理、功能完备的人员防护体系。加强人防工程之间、人防工程与普通地下空间的互联互通，推动构建连片成网、四通八达的地下空间网络。</w:t>
      </w:r>
    </w:p>
    <w:p w14:paraId="1EE6BFC7">
      <w:pPr>
        <w:ind w:firstLine="640"/>
      </w:pPr>
      <w:r>
        <w:rPr>
          <w:rFonts w:hint="eastAsia"/>
        </w:rPr>
        <w:t>火车站、燃气门站、储气站、通信枢纽、广播电台、电视台、电信局、轨道、220千伏变电站、500千伏变电站、自来水厂、桥梁、粮食库等按照重要防护目标的标准落实防护要求。结合城市发展，同步建设人民防空警报设施。</w:t>
      </w:r>
    </w:p>
    <w:p w14:paraId="1558077E">
      <w:pPr>
        <w:pStyle w:val="4"/>
      </w:pPr>
      <w:r>
        <w:rPr>
          <w:rFonts w:hint="eastAsia"/>
        </w:rPr>
        <w:t>推进防洪排涝安全工程建设</w:t>
      </w:r>
    </w:p>
    <w:p w14:paraId="6D242A36">
      <w:pPr>
        <w:ind w:firstLine="640"/>
      </w:pPr>
      <w:r>
        <w:rPr>
          <w:rFonts w:hint="eastAsia"/>
        </w:rPr>
        <w:t>在潮白河、北运河、青龙湾减河等流域型河道实施防洪提标工程，包括新建堤防工程、加高堤防工程、加高加固堤防工程、河槽治理工程以及关键水闸翻新改造等水工设施工程，实现河道防洪综合提标。</w:t>
      </w:r>
    </w:p>
    <w:p w14:paraId="1F7457B9">
      <w:pPr>
        <w:ind w:firstLine="640"/>
      </w:pPr>
      <w:r>
        <w:rPr>
          <w:rFonts w:hint="eastAsia"/>
        </w:rPr>
        <w:t>落实洪涝风险控制线，在骨干河道划定洪涝风险控制线。洪涝风险控制线内禁止进行违反保护和控制要求的建设活动，禁止擅自填埋、占用洪涝风险控制范围，禁止从事与防洪排涝要求不符的活动，保障防洪排涝系统的完整性和通达性，严格按照《中华人民共和国河道管理条例》进行管控。加强水域空间管控，保留现有河流、沟渠、坑塘等水生态敏感区，加强保护。</w:t>
      </w:r>
    </w:p>
    <w:p w14:paraId="4BA2B0EA">
      <w:pPr>
        <w:pStyle w:val="4"/>
      </w:pPr>
      <w:r>
        <w:rPr>
          <w:rFonts w:hint="eastAsia"/>
        </w:rPr>
        <w:t>健全公共卫生</w:t>
      </w:r>
      <w:r>
        <w:t>安全应急保障体系</w:t>
      </w:r>
    </w:p>
    <w:p w14:paraId="3B69E317">
      <w:pPr>
        <w:ind w:firstLine="640"/>
      </w:pPr>
      <w:r>
        <w:rPr>
          <w:rFonts w:hint="eastAsia"/>
        </w:rPr>
        <w:t>打造医疗防治、物资储备、产能动员“三位一体”的公共</w:t>
      </w:r>
      <w:r>
        <w:t>卫生</w:t>
      </w:r>
      <w:r>
        <w:rPr>
          <w:rFonts w:hint="eastAsia"/>
        </w:rPr>
        <w:t>安全</w:t>
      </w:r>
      <w:r>
        <w:t>应急</w:t>
      </w:r>
      <w:r>
        <w:rPr>
          <w:rFonts w:hint="eastAsia"/>
        </w:rPr>
        <w:t>保障体系。优化完善基层医疗救治设施布局，全面提升医疗救治的快速反应和基层处置能力。加强平急转换，补充完善和强化应急处置内容，预留发展空间。加强医疗机构相关救治设备和应急物资配置，充实完善专用应急物资储备品种规模。</w:t>
      </w:r>
    </w:p>
    <w:p w14:paraId="6839BA47">
      <w:pPr>
        <w:pStyle w:val="4"/>
      </w:pPr>
      <w:r>
        <w:rPr>
          <w:rFonts w:hint="eastAsia"/>
        </w:rPr>
        <w:t>改善应急保障基础设施</w:t>
      </w:r>
    </w:p>
    <w:p w14:paraId="09AC163B">
      <w:pPr>
        <w:ind w:firstLine="640"/>
      </w:pPr>
      <w:r>
        <w:rPr>
          <w:rStyle w:val="69"/>
          <w:rFonts w:hint="eastAsia"/>
        </w:rPr>
        <w:t>应急交通系统保障。</w:t>
      </w:r>
      <w:r>
        <w:rPr>
          <w:rFonts w:hint="eastAsia"/>
        </w:rPr>
        <w:t>以干线公路网、城市干道网为主通道，建立安全、可靠、高效的应急通道系统。结合城市快速路、区域性主干路、主要公路构建一级应急通道系统；结合区域主干路、主要公路、城市主干路等建设二级应急通道；结合城市主干路、次干路建设三级应急通道。一、二级应急通道、应急救援出入口及桥梁、隧道等各重要交通节点应重点保障。</w:t>
      </w:r>
    </w:p>
    <w:p w14:paraId="29DD8025">
      <w:pPr>
        <w:ind w:firstLine="640"/>
      </w:pPr>
      <w:r>
        <w:rPr>
          <w:rStyle w:val="69"/>
          <w:rFonts w:hint="eastAsia"/>
        </w:rPr>
        <w:t>保障应急供电供水系统。</w:t>
      </w:r>
      <w:r>
        <w:rPr>
          <w:rFonts w:hint="eastAsia"/>
        </w:rPr>
        <w:t>110千伏及以上等级变电站为应急保障电站。规划相关水厂为应急保障水厂，满足灾时用水量需求。规划压采现状地下水源作为应急备用水源，保证3—4日紧急供水需求。规划结合中心避难场所建设应急给水点。</w:t>
      </w:r>
    </w:p>
    <w:p w14:paraId="3189D373">
      <w:pPr>
        <w:ind w:firstLine="640"/>
      </w:pPr>
      <w:r>
        <w:rPr>
          <w:rStyle w:val="69"/>
          <w:rFonts w:hint="eastAsia"/>
        </w:rPr>
        <w:t>保障应急通讯系统。</w:t>
      </w:r>
      <w:r>
        <w:rPr>
          <w:rFonts w:hint="eastAsia"/>
        </w:rPr>
        <w:t>香河综合通信中心及区内其他重要通信设施按重点设防类标准设防。有线通讯加大光缆通讯比例，无线通信采用可搬移设备解决传输，灾害发生后，微波设备可随工程车开到通信设施被损坏的地段，迅速架起微波通道。</w:t>
      </w:r>
    </w:p>
    <w:p w14:paraId="0F81AB9C">
      <w:pPr>
        <w:ind w:firstLine="640"/>
        <w:sectPr>
          <w:pgSz w:w="11906" w:h="16838"/>
          <w:pgMar w:top="1440" w:right="1800" w:bottom="1440" w:left="1800" w:header="851" w:footer="992" w:gutter="0"/>
          <w:cols w:space="425" w:num="1"/>
          <w:docGrid w:type="lines" w:linePitch="435" w:charSpace="0"/>
        </w:sectPr>
      </w:pPr>
    </w:p>
    <w:p w14:paraId="7CA1486D">
      <w:pPr>
        <w:pStyle w:val="2"/>
        <w:spacing w:before="1522" w:after="652"/>
        <w:rPr>
          <w:rFonts w:hint="eastAsia"/>
        </w:rPr>
      </w:pPr>
      <w:bookmarkStart w:id="274" w:name="_Toc157528375"/>
      <w:bookmarkStart w:id="275" w:name="_Toc30343"/>
      <w:r>
        <w:rPr>
          <w:rFonts w:hint="eastAsia"/>
        </w:rPr>
        <w:t>完善传导实施机制</w:t>
      </w:r>
      <w:bookmarkEnd w:id="274"/>
      <w:bookmarkEnd w:id="275"/>
    </w:p>
    <w:p w14:paraId="526465BF">
      <w:pPr>
        <w:ind w:firstLine="640"/>
      </w:pPr>
      <w:r>
        <w:rPr>
          <w:rFonts w:hint="eastAsia"/>
        </w:rPr>
        <w:t>健全规划实施保障机制，发挥国土空间规划承上启下、统筹协调作用，建立健全“多规合一”国土空间规划体系，完善国土空间开发保护制度，实施规划全生命周期管理，全面提升国土空间治理体系和治理能力现代化水平。</w:t>
      </w:r>
    </w:p>
    <w:p w14:paraId="70A03CCE">
      <w:pPr>
        <w:pStyle w:val="3"/>
        <w:spacing w:before="435" w:after="435"/>
      </w:pPr>
      <w:bookmarkStart w:id="276" w:name="_Toc157528376"/>
      <w:bookmarkStart w:id="277" w:name="_Toc7626"/>
      <w:r>
        <w:rPr>
          <w:rFonts w:hint="eastAsia"/>
        </w:rPr>
        <w:t>加强党的领导</w:t>
      </w:r>
      <w:bookmarkEnd w:id="276"/>
      <w:bookmarkEnd w:id="277"/>
    </w:p>
    <w:p w14:paraId="4E49A4AB">
      <w:pPr>
        <w:pStyle w:val="4"/>
      </w:pPr>
      <w:r>
        <w:rPr>
          <w:rFonts w:hint="eastAsia"/>
        </w:rPr>
        <w:t>坚持党的全面领导</w:t>
      </w:r>
    </w:p>
    <w:p w14:paraId="7A3F1B72">
      <w:pPr>
        <w:ind w:firstLine="640"/>
      </w:pPr>
      <w:r>
        <w:rPr>
          <w:rFonts w:hint="eastAsia"/>
        </w:rPr>
        <w:t>全面贯彻习近平新时代中国特色社会主义思想，忠诚捍卫“两个确立”、增强“四个意识”、坚定“四个自信”、做到“两个维护”，不断提高政治判断力、政治领悟力、政治执行力，充分发挥党总揽全局、协调各方的领导核心作用，把党的领导贯彻到国土空间规划编制实施全过程各领域各环节。</w:t>
      </w:r>
    </w:p>
    <w:p w14:paraId="620CD0C2">
      <w:pPr>
        <w:pStyle w:val="4"/>
      </w:pPr>
      <w:r>
        <w:rPr>
          <w:rFonts w:hint="eastAsia"/>
        </w:rPr>
        <w:t>落实规划管理主体责任</w:t>
      </w:r>
    </w:p>
    <w:p w14:paraId="20B1957E">
      <w:pPr>
        <w:ind w:firstLine="640"/>
      </w:pPr>
      <w:r>
        <w:rPr>
          <w:rFonts w:hint="eastAsia"/>
        </w:rPr>
        <w:t>落实地方各级党委和政府国土空间规划管理主体责任。坚持“多规合一”，强化规划严肃性，规划一经批准，任何部门和个人不得随意修改、违规变更。持续开展国土空间规划业务培训，提高各级领导干部特别是基层干部规划业务能力和管理水平。国土空间规划执行情况纳入领导干部自然资产离任审计。本规划实施中的重大事项或重大调整及时按程序请示报告，确保国家和省重大决策部署落实到位。</w:t>
      </w:r>
    </w:p>
    <w:p w14:paraId="57C0D5A5">
      <w:pPr>
        <w:pStyle w:val="3"/>
        <w:spacing w:before="435" w:after="435"/>
      </w:pPr>
      <w:bookmarkStart w:id="278" w:name="_Toc157528377"/>
      <w:bookmarkStart w:id="279" w:name="_Toc13296"/>
      <w:r>
        <w:rPr>
          <w:rFonts w:hint="eastAsia"/>
        </w:rPr>
        <w:t>完善规划体系加强规划传导</w:t>
      </w:r>
      <w:bookmarkEnd w:id="278"/>
      <w:bookmarkEnd w:id="279"/>
    </w:p>
    <w:p w14:paraId="1BD0F0BD">
      <w:pPr>
        <w:pStyle w:val="4"/>
      </w:pPr>
      <w:r>
        <w:rPr>
          <w:rFonts w:hint="eastAsia"/>
        </w:rPr>
        <w:t>推进国土空间规划体系建设</w:t>
      </w:r>
    </w:p>
    <w:p w14:paraId="39B03550">
      <w:pPr>
        <w:ind w:firstLine="640"/>
      </w:pPr>
      <w:r>
        <w:rPr>
          <w:rFonts w:hint="eastAsia"/>
        </w:rPr>
        <w:t>加快建立“两级三类”空间规划体系，形成全域覆盖、上下衔接、分层管理、分类指导的规划实施传导机制。</w:t>
      </w:r>
    </w:p>
    <w:p w14:paraId="37FA0FCF">
      <w:pPr>
        <w:pStyle w:val="4"/>
      </w:pPr>
      <w:r>
        <w:rPr>
          <w:rFonts w:hint="eastAsia"/>
        </w:rPr>
        <w:t>强化国土空间规划承上启下传导作用</w:t>
      </w:r>
    </w:p>
    <w:p w14:paraId="0F3D588F">
      <w:pPr>
        <w:ind w:firstLine="640"/>
      </w:pPr>
      <w:r>
        <w:rPr>
          <w:rFonts w:hint="eastAsia"/>
        </w:rPr>
        <w:t>以全县国土空间开发保护新格局为指引，通过指标控制、分区传导、底线管控、名录管理、重点项目、政策要求等方式，将县级总体规划内容逐级分解落实到乡镇国土空间总体规划中。详细规划要遵循总体规划，不得违背总体规划强制性内容。要在总体规划的约束下编制交通、能源、水利、农业、市政、信息、防灾等基础设施，公共服务，绿地系统，生态环境，名城保护，文化旅游，城市更新，产业布局，城市风貌等涉及空间利用的专项规划。专项规划经依法批准后纳入同级国土空间基础信息平台，叠加到国土空间规划“一张图”，有效指导下位国土空间规划编制和实施管理。</w:t>
      </w:r>
    </w:p>
    <w:p w14:paraId="3F7B300E">
      <w:pPr>
        <w:pStyle w:val="3"/>
        <w:spacing w:before="435" w:after="435"/>
      </w:pPr>
      <w:bookmarkStart w:id="280" w:name="_Toc157528378"/>
      <w:bookmarkStart w:id="281" w:name="_Toc28253"/>
      <w:bookmarkStart w:id="282" w:name="_Hlk127978316"/>
      <w:r>
        <w:rPr>
          <w:rFonts w:hint="eastAsia"/>
        </w:rPr>
        <w:t>加强规划全生命周期管理</w:t>
      </w:r>
      <w:bookmarkEnd w:id="280"/>
      <w:bookmarkEnd w:id="281"/>
    </w:p>
    <w:bookmarkEnd w:id="282"/>
    <w:p w14:paraId="73EF5536">
      <w:pPr>
        <w:pStyle w:val="4"/>
      </w:pPr>
      <w:r>
        <w:rPr>
          <w:rFonts w:hint="eastAsia"/>
        </w:rPr>
        <w:t>建立规划动态评估与调整机制</w:t>
      </w:r>
    </w:p>
    <w:p w14:paraId="3FA4E770">
      <w:pPr>
        <w:ind w:firstLine="640"/>
      </w:pPr>
      <w:r>
        <w:rPr>
          <w:rFonts w:hint="eastAsia"/>
        </w:rPr>
        <w:t>结合年度国土变更调查和地理国情监测结果，建立“定期体检、五年一评估”的常态化规划实施监测机制，将体检评估结果作为规划编制、审批、修改的重要参考。因国家、省重大战略和项目实施、重大政策调整、经济社会发展条件发生重大变化、发生重大自然灾害等需要修改规划的，规划编制机关可以按程序修改规划，报原审批机关批准。</w:t>
      </w:r>
    </w:p>
    <w:p w14:paraId="344F800A">
      <w:pPr>
        <w:pStyle w:val="4"/>
      </w:pPr>
      <w:r>
        <w:rPr>
          <w:rFonts w:hint="eastAsia"/>
        </w:rPr>
        <w:t>加强规划监督管理</w:t>
      </w:r>
    </w:p>
    <w:p w14:paraId="68EFDCFE">
      <w:pPr>
        <w:ind w:firstLine="640"/>
      </w:pPr>
      <w:r>
        <w:rPr>
          <w:rFonts w:hint="eastAsia"/>
        </w:rPr>
        <w:t>健全完善国土空间规划委员会制度，发挥对国土空间规划编制实施管理重要问题的统筹协调作用。加强对各级国土空间规划的实施监督，严肃查处违法违规编制、修改和审批国土空间规划，违法发放规划许可，违反法定规划设置规划设计条件和“未批先建”等问题。加强纪检监察机关监督，对失职失责的领导干部依规依纪严格问责、终身问责。</w:t>
      </w:r>
    </w:p>
    <w:p w14:paraId="54FDE28D">
      <w:pPr>
        <w:pStyle w:val="4"/>
      </w:pPr>
      <w:r>
        <w:rPr>
          <w:rFonts w:hint="eastAsia"/>
        </w:rPr>
        <w:t>强化规划科技创新与规划队伍建设</w:t>
      </w:r>
    </w:p>
    <w:p w14:paraId="2AE912BE">
      <w:pPr>
        <w:ind w:firstLine="640"/>
      </w:pPr>
      <w:r>
        <w:rPr>
          <w:rFonts w:hint="eastAsia"/>
        </w:rPr>
        <w:t>积极参与京津冀国土空间规划领域交流合作，加快与京津科研服务机构、高校的战略合作，加强规划科技创新平台建设，推动国土空间规划专业人才培养。</w:t>
      </w:r>
    </w:p>
    <w:p w14:paraId="4A80BC7E">
      <w:pPr>
        <w:pStyle w:val="4"/>
      </w:pPr>
      <w:r>
        <w:rPr>
          <w:rFonts w:hint="eastAsia"/>
        </w:rPr>
        <w:t>健全公众参与长效机制</w:t>
      </w:r>
    </w:p>
    <w:p w14:paraId="47CC13D3">
      <w:pPr>
        <w:ind w:firstLine="640"/>
      </w:pPr>
      <w:r>
        <w:rPr>
          <w:rFonts w:hint="eastAsia"/>
        </w:rPr>
        <w:t>实行全过程、多渠道公众参与，做到编制公告、实施公开、修改公示，鼓励和引导社会各方参与规划编制、监督规划实施。建立重大问题和重大事项规划咨询机制，发挥各部门、各领域专家、社会各界人士和公众的作用。</w:t>
      </w:r>
    </w:p>
    <w:p w14:paraId="255A458A">
      <w:pPr>
        <w:ind w:firstLine="640"/>
      </w:pPr>
    </w:p>
    <w:p w14:paraId="7B216EA0">
      <w:pPr>
        <w:pStyle w:val="3"/>
        <w:spacing w:before="435" w:after="435"/>
      </w:pPr>
      <w:bookmarkStart w:id="283" w:name="_Toc157528379"/>
      <w:bookmarkStart w:id="284" w:name="_Toc9833"/>
      <w:r>
        <w:rPr>
          <w:rFonts w:hint="eastAsia"/>
        </w:rPr>
        <w:t>推进政策制度保障</w:t>
      </w:r>
      <w:bookmarkEnd w:id="283"/>
      <w:bookmarkEnd w:id="284"/>
    </w:p>
    <w:p w14:paraId="4C9DDC52">
      <w:pPr>
        <w:pStyle w:val="4"/>
      </w:pPr>
      <w:r>
        <w:rPr>
          <w:rFonts w:hint="eastAsia"/>
        </w:rPr>
        <w:t>土地类政策</w:t>
      </w:r>
    </w:p>
    <w:p w14:paraId="5F1A1AB7">
      <w:pPr>
        <w:ind w:firstLine="640"/>
      </w:pPr>
      <w:bookmarkStart w:id="285" w:name="_Hlk156559686"/>
      <w:r>
        <w:rPr>
          <w:rFonts w:hint="eastAsia"/>
        </w:rPr>
        <w:t>创新存量用地政策，探索存量用地改造政府优先回购制度。创新土地供应政策，探索工业用地的“弹性出让”、租赁式用地市场开发、支持旅游休闲市场发展的“点状供地”等机制。创新集体土地利用政策，推动不改变原土地所有权性质情况下推动地块改造升级，用于租赁、服务等用途。根据用地效率，制定差异化的供地计划。</w:t>
      </w:r>
    </w:p>
    <w:bookmarkEnd w:id="285"/>
    <w:p w14:paraId="077FD206">
      <w:pPr>
        <w:pStyle w:val="4"/>
      </w:pPr>
      <w:r>
        <w:rPr>
          <w:rFonts w:hint="eastAsia"/>
        </w:rPr>
        <w:t>其他支撑制度体系</w:t>
      </w:r>
    </w:p>
    <w:p w14:paraId="4DA8E71A">
      <w:pPr>
        <w:ind w:firstLine="640"/>
      </w:pPr>
      <w:r>
        <w:rPr>
          <w:rStyle w:val="69"/>
          <w:rFonts w:hint="eastAsia"/>
        </w:rPr>
        <w:t>搭建科技成果转换协同平台</w:t>
      </w:r>
      <w:r>
        <w:rPr>
          <w:rFonts w:hint="eastAsia"/>
        </w:rPr>
        <w:t>、</w:t>
      </w:r>
      <w:r>
        <w:rPr>
          <w:rStyle w:val="69"/>
          <w:rFonts w:hint="eastAsia"/>
        </w:rPr>
        <w:t>流域治理平台。推动运营模式升级。建立重大项目领导小组办公室会议制度。统筹全域资源要素流动。</w:t>
      </w:r>
    </w:p>
    <w:p w14:paraId="63B6AFC1">
      <w:pPr>
        <w:ind w:firstLine="640"/>
      </w:pPr>
      <w:r>
        <w:rPr>
          <w:rStyle w:val="69"/>
          <w:rFonts w:hint="eastAsia"/>
        </w:rPr>
        <w:t>建立责任规划师制度。</w:t>
      </w:r>
      <w:r>
        <w:rPr>
          <w:rFonts w:hint="eastAsia"/>
        </w:rPr>
        <w:t>推进以社区、乡镇为单元的责任规划师制度。探索政府、市场、市民、非政府组织等多方参与协作治理模式。</w:t>
      </w:r>
    </w:p>
    <w:p w14:paraId="72815ABF">
      <w:pPr>
        <w:pStyle w:val="4"/>
      </w:pPr>
      <w:r>
        <w:rPr>
          <w:rFonts w:hint="eastAsia"/>
        </w:rPr>
        <w:t>建立实施监测评估与考核制度</w:t>
      </w:r>
    </w:p>
    <w:p w14:paraId="67835735">
      <w:pPr>
        <w:ind w:firstLine="640"/>
      </w:pPr>
      <w:r>
        <w:rPr>
          <w:rFonts w:hint="eastAsia"/>
        </w:rPr>
        <w:t>建立规划实施预警、监测、定期评估和动态维护制度。跟踪监测总体规划中确定的各项指标；以国土空间基础信息平台为载体，综合运用卫片监测等信息化手段，建立定期体检，五年一评估，规划核心指标应纳入考核评价体系；根据评估结果及时调整相关实施策略，并指导近期建设规划、年度实施计划的编制和项目审批，实现规划动态维护。加强公众和社会监督，建立多渠道社会参与机制，将规划实施情况纳入领导干部自然资源资产离任审计，切实将规划理念渗透到全县治理的各个环节和方面。</w:t>
      </w:r>
    </w:p>
    <w:p w14:paraId="1E5CC32F">
      <w:pPr>
        <w:pStyle w:val="3"/>
        <w:spacing w:before="435" w:after="435"/>
      </w:pPr>
      <w:bookmarkStart w:id="286" w:name="_Toc157528381"/>
      <w:bookmarkStart w:id="287" w:name="_Toc28282"/>
      <w:r>
        <w:rPr>
          <w:rFonts w:hint="eastAsia"/>
        </w:rPr>
        <w:t>做好规划近期实施安排</w:t>
      </w:r>
      <w:bookmarkEnd w:id="286"/>
      <w:bookmarkEnd w:id="287"/>
    </w:p>
    <w:p w14:paraId="67B8A7FB">
      <w:pPr>
        <w:pStyle w:val="4"/>
      </w:pPr>
      <w:r>
        <w:rPr>
          <w:rFonts w:hint="eastAsia"/>
        </w:rPr>
        <w:t>加强生态保护修复建设</w:t>
      </w:r>
    </w:p>
    <w:p w14:paraId="32113415">
      <w:pPr>
        <w:ind w:firstLine="640"/>
      </w:pPr>
      <w:r>
        <w:rPr>
          <w:rFonts w:hint="eastAsia"/>
        </w:rPr>
        <w:t>加大生态环境保护修复建设力度，有效解决生态环境突出问题，加快实施生态修复行动、国土绿化行动、地下水超采综合治理行动。</w:t>
      </w:r>
    </w:p>
    <w:p w14:paraId="5907D2AF">
      <w:pPr>
        <w:pStyle w:val="4"/>
      </w:pPr>
      <w:r>
        <w:rPr>
          <w:rFonts w:hint="eastAsia"/>
        </w:rPr>
        <w:t>完善重大交通基础设施</w:t>
      </w:r>
    </w:p>
    <w:p w14:paraId="1C2A613D">
      <w:pPr>
        <w:ind w:firstLine="640"/>
      </w:pPr>
      <w:r>
        <w:rPr>
          <w:rFonts w:hint="eastAsia"/>
        </w:rPr>
        <w:t>推进跨界公路对接，推进区域性道路与通州区对接，打造内通外联的快速交通网。</w:t>
      </w:r>
    </w:p>
    <w:p w14:paraId="20E11696">
      <w:pPr>
        <w:pStyle w:val="4"/>
      </w:pPr>
      <w:r>
        <w:rPr>
          <w:rFonts w:hint="eastAsia"/>
        </w:rPr>
        <w:t>推进公共服务均等化</w:t>
      </w:r>
    </w:p>
    <w:p w14:paraId="762C3F85">
      <w:pPr>
        <w:ind w:firstLine="640"/>
      </w:pPr>
      <w:r>
        <w:rPr>
          <w:rFonts w:hint="eastAsia"/>
        </w:rPr>
        <w:t>坚持以人民为中心，聚焦短板弱项，加强公共服务设施布局的统筹协调，提升基本公共服务均等化水平，丰富公共服务设施内容体系，提升城乡公共服务保障能力，满足人民群众日益增长的美好生活需要。</w:t>
      </w:r>
    </w:p>
    <w:p w14:paraId="1A8DD904">
      <w:pPr>
        <w:pStyle w:val="4"/>
      </w:pPr>
      <w:r>
        <w:rPr>
          <w:rFonts w:hint="eastAsia"/>
        </w:rPr>
        <w:t>实施基础设施保障工程</w:t>
      </w:r>
    </w:p>
    <w:p w14:paraId="4ECB2021">
      <w:pPr>
        <w:ind w:firstLine="640"/>
      </w:pPr>
      <w:r>
        <w:rPr>
          <w:rFonts w:hint="eastAsia"/>
        </w:rPr>
        <w:t>围绕水资源、能源、公共安全、通信等方面的问题，加快补齐基础设施和城市公共安全设施短板，提高设施保障能力，强化新型基础设施的超前布局，实施水利基础设施保障行动、能源基础设施保障行动、公共安全与防灾体系建设、通信基础设施保障行动。</w:t>
      </w:r>
    </w:p>
    <w:p w14:paraId="619C7C3C">
      <w:pPr>
        <w:pStyle w:val="4"/>
      </w:pPr>
      <w:r>
        <w:rPr>
          <w:rFonts w:hint="eastAsia"/>
        </w:rPr>
        <w:t>持续推进乡村振兴</w:t>
      </w:r>
    </w:p>
    <w:p w14:paraId="4B56F95D">
      <w:pPr>
        <w:ind w:firstLine="640"/>
      </w:pPr>
      <w:r>
        <w:rPr>
          <w:rFonts w:hint="eastAsia"/>
        </w:rPr>
        <w:t>巩固脱贫攻坚成果，改善村庄人居环境，从道路交通、公共服务、村容村貌、市政设施等方面加快推进村庄人居环境整治。</w:t>
      </w:r>
    </w:p>
    <w:p w14:paraId="47EC9374">
      <w:pPr>
        <w:ind w:left="0" w:leftChars="0" w:firstLine="0" w:firstLineChars="0"/>
        <w:rPr>
          <w:rFonts w:ascii="Calibri" w:hAnsi="Calibri" w:eastAsia="宋体"/>
          <w:kern w:val="0"/>
          <w:sz w:val="20"/>
          <w:szCs w:val="20"/>
        </w:rPr>
      </w:pPr>
    </w:p>
    <w:sectPr>
      <w:headerReference r:id="rId18" w:type="default"/>
      <w:headerReference r:id="rId19" w:type="even"/>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D45DD">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D7FE">
    <w:pPr>
      <w:pStyle w:val="21"/>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2849540"/>
    </w:sdtPr>
    <w:sdtContent>
      <w:p w14:paraId="4AAFF032">
        <w:pPr>
          <w:pStyle w:val="21"/>
          <w:ind w:firstLine="360"/>
          <w:jc w:val="center"/>
        </w:pPr>
        <w:r>
          <w:fldChar w:fldCharType="begin"/>
        </w:r>
        <w:r>
          <w:instrText xml:space="preserve">PAGE   \* MERGEFORMAT</w:instrText>
        </w:r>
        <w:r>
          <w:fldChar w:fldCharType="separate"/>
        </w:r>
        <w:r>
          <w:t>II</w:t>
        </w:r>
        <w:r>
          <w:fldChar w:fldCharType="end"/>
        </w:r>
      </w:p>
    </w:sdtContent>
  </w:sdt>
  <w:p w14:paraId="5A9E91F8">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D1ED">
    <w:pPr>
      <w:pStyle w:val="21"/>
      <w:ind w:right="180" w:firstLine="0" w:firstLineChars="0"/>
      <w:jc w:val="center"/>
      <w:rPr>
        <w:sz w:val="24"/>
        <w:szCs w:val="24"/>
      </w:rPr>
    </w:pPr>
    <w:r>
      <w:rPr>
        <w:sz w:val="24"/>
        <w:szCs w:val="24"/>
      </w:rPr>
      <w:t xml:space="preserve"> </w:t>
    </w:r>
    <w:sdt>
      <w:sdtPr>
        <w:rPr>
          <w:sz w:val="24"/>
          <w:szCs w:val="24"/>
        </w:rPr>
        <w:id w:val="1857148302"/>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iii</w:t>
        </w:r>
        <w:r>
          <w:rPr>
            <w:sz w:val="24"/>
            <w:szCs w:val="24"/>
          </w:rPr>
          <w:fldChar w:fldCharType="end"/>
        </w:r>
        <w:r>
          <w:rPr>
            <w:sz w:val="24"/>
            <w:szCs w:val="24"/>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4F6">
    <w:pPr>
      <w:pStyle w:val="21"/>
      <w:ind w:firstLine="0" w:firstLineChars="0"/>
      <w:jc w:val="center"/>
    </w:pPr>
    <w:sdt>
      <w:sdtPr>
        <w:rPr>
          <w:sz w:val="24"/>
          <w:szCs w:val="24"/>
        </w:rPr>
        <w:id w:val="1844896025"/>
      </w:sdtPr>
      <w:sdtEndPr>
        <w:rPr>
          <w:sz w:val="18"/>
          <w:szCs w:val="18"/>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rPr>
          <w:t>50</w:t>
        </w:r>
        <w:r>
          <w:rPr>
            <w:sz w:val="24"/>
            <w:szCs w:val="24"/>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C37E">
    <w:pPr>
      <w:pStyle w:val="21"/>
      <w:ind w:right="180" w:firstLine="0" w:firstLineChars="0"/>
      <w:jc w:val="center"/>
      <w:rPr>
        <w:sz w:val="24"/>
        <w:szCs w:val="24"/>
      </w:rPr>
    </w:pPr>
    <w:sdt>
      <w:sdtPr>
        <w:rPr>
          <w:sz w:val="24"/>
          <w:szCs w:val="24"/>
        </w:rPr>
        <w:id w:val="2085647354"/>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51</w:t>
        </w:r>
        <w:r>
          <w:rPr>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0C0A">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25FA">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AEC6">
    <w:pPr>
      <w:pStyle w:val="22"/>
      <w:ind w:firstLine="360"/>
    </w:pPr>
    <w:r>
      <w:ptab w:relativeTo="margin" w:alignment="center" w:leader="none"/>
    </w:r>
    <w:r>
      <w:ptab w:relativeTo="margin" w:alignment="right" w:leader="none"/>
    </w:r>
    <w:r>
      <w:rPr>
        <w:rFonts w:hint="eastAsia"/>
      </w:rPr>
      <w:t>河北省国土空间规划（2019-2035年）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A297">
    <w:pPr>
      <w:pStyle w:val="2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161E">
    <w:pPr>
      <w:pStyle w:val="2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5113">
    <w:pPr>
      <w:pStyle w:val="2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6BA2">
    <w:pPr>
      <w:pStyle w:val="22"/>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90B7">
    <w:pPr>
      <w:pStyle w:val="22"/>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EF609">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F5F4E"/>
    <w:multiLevelType w:val="multilevel"/>
    <w:tmpl w:val="0B0F5F4E"/>
    <w:lvl w:ilvl="0" w:tentative="0">
      <w:start w:val="1"/>
      <w:numFmt w:val="decimal"/>
      <w:pStyle w:val="104"/>
      <w:lvlText w:val="第%1条"/>
      <w:lvlJc w:val="left"/>
      <w:pPr>
        <w:ind w:left="928"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
    <w:nsid w:val="27C32CC5"/>
    <w:multiLevelType w:val="multilevel"/>
    <w:tmpl w:val="27C32CC5"/>
    <w:lvl w:ilvl="0" w:tentative="0">
      <w:start w:val="1"/>
      <w:numFmt w:val="chineseCountingThousand"/>
      <w:pStyle w:val="2"/>
      <w:lvlText w:val="第%1章"/>
      <w:lvlJc w:val="left"/>
      <w:pPr>
        <w:ind w:left="425" w:hanging="425"/>
      </w:pPr>
      <w:rPr>
        <w:rFonts w:hint="eastAsia"/>
        <w:b w:val="0"/>
        <w:bCs w:val="0"/>
        <w:sz w:val="36"/>
        <w:szCs w:val="36"/>
      </w:rPr>
    </w:lvl>
    <w:lvl w:ilvl="1" w:tentative="0">
      <w:start w:val="1"/>
      <w:numFmt w:val="chineseCountingThousand"/>
      <w:pStyle w:val="3"/>
      <w:lvlText w:val="第%2节"/>
      <w:lvlJc w:val="left"/>
      <w:pPr>
        <w:ind w:left="992" w:hanging="992"/>
      </w:pPr>
      <w:rPr>
        <w:rFonts w:hint="eastAsia"/>
        <w:lang w:val="en-US"/>
      </w:rPr>
    </w:lvl>
    <w:lvl w:ilvl="2" w:tentative="0">
      <w:start w:val="1"/>
      <w:numFmt w:val="decimal"/>
      <w:lvlRestart w:val="0"/>
      <w:pStyle w:val="4"/>
      <w:lvlText w:val="第%3条"/>
      <w:lvlJc w:val="left"/>
      <w:pPr>
        <w:ind w:left="1134" w:hanging="1134"/>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ED169B4"/>
    <w:multiLevelType w:val="multilevel"/>
    <w:tmpl w:val="4ED169B4"/>
    <w:lvl w:ilvl="0" w:tentative="0">
      <w:start w:val="1"/>
      <w:numFmt w:val="decimal"/>
      <w:pStyle w:val="5"/>
      <w:lvlText w:val="%1."/>
      <w:lvlJc w:val="center"/>
      <w:pPr>
        <w:ind w:left="1080" w:hanging="440"/>
      </w:pPr>
      <w:rPr>
        <w:rFonts w:hint="eastAsia"/>
      </w:rPr>
    </w:lvl>
    <w:lvl w:ilvl="1" w:tentative="0">
      <w:start w:val="1"/>
      <w:numFmt w:val="decimal"/>
      <w:lvlText w:val="%2"/>
      <w:lvlJc w:val="left"/>
      <w:pPr>
        <w:ind w:left="1440" w:hanging="360"/>
      </w:pPr>
      <w:rPr>
        <w:rFonts w:hint="default"/>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3MzYxZWUwMjIzMzZlMDg1OWI4MzVhODNjYzYwYjcifQ=="/>
  </w:docVars>
  <w:rsids>
    <w:rsidRoot w:val="00117216"/>
    <w:rsid w:val="00000881"/>
    <w:rsid w:val="00000963"/>
    <w:rsid w:val="00000A76"/>
    <w:rsid w:val="00000C60"/>
    <w:rsid w:val="00000CEB"/>
    <w:rsid w:val="00000DEF"/>
    <w:rsid w:val="0000127D"/>
    <w:rsid w:val="0000197F"/>
    <w:rsid w:val="00002006"/>
    <w:rsid w:val="00002031"/>
    <w:rsid w:val="00002B6C"/>
    <w:rsid w:val="00002F00"/>
    <w:rsid w:val="000034F9"/>
    <w:rsid w:val="000036D4"/>
    <w:rsid w:val="00004B5C"/>
    <w:rsid w:val="00004CDB"/>
    <w:rsid w:val="00004CFA"/>
    <w:rsid w:val="00005A41"/>
    <w:rsid w:val="000063AE"/>
    <w:rsid w:val="00006A99"/>
    <w:rsid w:val="00006C36"/>
    <w:rsid w:val="00006D5E"/>
    <w:rsid w:val="0000716D"/>
    <w:rsid w:val="00007FA8"/>
    <w:rsid w:val="00010329"/>
    <w:rsid w:val="00010632"/>
    <w:rsid w:val="000107A3"/>
    <w:rsid w:val="00010801"/>
    <w:rsid w:val="00010855"/>
    <w:rsid w:val="00010C61"/>
    <w:rsid w:val="00010D5F"/>
    <w:rsid w:val="00011EB5"/>
    <w:rsid w:val="00012575"/>
    <w:rsid w:val="00012834"/>
    <w:rsid w:val="00012E02"/>
    <w:rsid w:val="00012EC2"/>
    <w:rsid w:val="0001314F"/>
    <w:rsid w:val="00013171"/>
    <w:rsid w:val="000137CB"/>
    <w:rsid w:val="00013C4F"/>
    <w:rsid w:val="00013D4F"/>
    <w:rsid w:val="000142AF"/>
    <w:rsid w:val="0001434E"/>
    <w:rsid w:val="0001495E"/>
    <w:rsid w:val="000150F7"/>
    <w:rsid w:val="000157BB"/>
    <w:rsid w:val="0001593C"/>
    <w:rsid w:val="0001606F"/>
    <w:rsid w:val="00016096"/>
    <w:rsid w:val="000160F9"/>
    <w:rsid w:val="0001613E"/>
    <w:rsid w:val="000162A1"/>
    <w:rsid w:val="000166A7"/>
    <w:rsid w:val="000166C7"/>
    <w:rsid w:val="0001671F"/>
    <w:rsid w:val="00016A3F"/>
    <w:rsid w:val="00017383"/>
    <w:rsid w:val="00017C84"/>
    <w:rsid w:val="00017DB0"/>
    <w:rsid w:val="00017DC5"/>
    <w:rsid w:val="00017FC1"/>
    <w:rsid w:val="0002054E"/>
    <w:rsid w:val="000209AC"/>
    <w:rsid w:val="00021071"/>
    <w:rsid w:val="00021317"/>
    <w:rsid w:val="000213EE"/>
    <w:rsid w:val="00021708"/>
    <w:rsid w:val="00021B30"/>
    <w:rsid w:val="00022D67"/>
    <w:rsid w:val="000237A9"/>
    <w:rsid w:val="00023806"/>
    <w:rsid w:val="0002391C"/>
    <w:rsid w:val="00023C30"/>
    <w:rsid w:val="00023CBB"/>
    <w:rsid w:val="00023CC0"/>
    <w:rsid w:val="00023CEE"/>
    <w:rsid w:val="00023DA2"/>
    <w:rsid w:val="000241A7"/>
    <w:rsid w:val="000241C6"/>
    <w:rsid w:val="000244C3"/>
    <w:rsid w:val="0002452E"/>
    <w:rsid w:val="0002493F"/>
    <w:rsid w:val="00025463"/>
    <w:rsid w:val="0002602E"/>
    <w:rsid w:val="00026B33"/>
    <w:rsid w:val="0002717D"/>
    <w:rsid w:val="000271D6"/>
    <w:rsid w:val="0003044E"/>
    <w:rsid w:val="000306E1"/>
    <w:rsid w:val="00030A5A"/>
    <w:rsid w:val="00030D0F"/>
    <w:rsid w:val="00030D39"/>
    <w:rsid w:val="00031105"/>
    <w:rsid w:val="000320BF"/>
    <w:rsid w:val="00032261"/>
    <w:rsid w:val="00032A40"/>
    <w:rsid w:val="000333A8"/>
    <w:rsid w:val="00033946"/>
    <w:rsid w:val="000343AD"/>
    <w:rsid w:val="00035671"/>
    <w:rsid w:val="000360CD"/>
    <w:rsid w:val="000361D5"/>
    <w:rsid w:val="0003647D"/>
    <w:rsid w:val="000364B2"/>
    <w:rsid w:val="00037143"/>
    <w:rsid w:val="00037341"/>
    <w:rsid w:val="00037DEB"/>
    <w:rsid w:val="000400A6"/>
    <w:rsid w:val="00040FC2"/>
    <w:rsid w:val="00041881"/>
    <w:rsid w:val="00041A2C"/>
    <w:rsid w:val="00042352"/>
    <w:rsid w:val="000428B4"/>
    <w:rsid w:val="00042B89"/>
    <w:rsid w:val="00043ED6"/>
    <w:rsid w:val="0004434A"/>
    <w:rsid w:val="00044487"/>
    <w:rsid w:val="000444BA"/>
    <w:rsid w:val="000444BE"/>
    <w:rsid w:val="0004559C"/>
    <w:rsid w:val="00045C22"/>
    <w:rsid w:val="00045E62"/>
    <w:rsid w:val="000465CC"/>
    <w:rsid w:val="00047169"/>
    <w:rsid w:val="00047B52"/>
    <w:rsid w:val="00047B7C"/>
    <w:rsid w:val="00047F52"/>
    <w:rsid w:val="00050414"/>
    <w:rsid w:val="0005041F"/>
    <w:rsid w:val="000519B3"/>
    <w:rsid w:val="000524C1"/>
    <w:rsid w:val="000525B7"/>
    <w:rsid w:val="000526F4"/>
    <w:rsid w:val="00053487"/>
    <w:rsid w:val="00053A61"/>
    <w:rsid w:val="00053DF9"/>
    <w:rsid w:val="00053FCF"/>
    <w:rsid w:val="00054A66"/>
    <w:rsid w:val="00054C7F"/>
    <w:rsid w:val="000563C8"/>
    <w:rsid w:val="00056AA7"/>
    <w:rsid w:val="00056EC8"/>
    <w:rsid w:val="00057126"/>
    <w:rsid w:val="00057B3C"/>
    <w:rsid w:val="0006043B"/>
    <w:rsid w:val="0006053F"/>
    <w:rsid w:val="0006059A"/>
    <w:rsid w:val="00061201"/>
    <w:rsid w:val="0006199A"/>
    <w:rsid w:val="00061E1F"/>
    <w:rsid w:val="000621B7"/>
    <w:rsid w:val="000626AF"/>
    <w:rsid w:val="000626C9"/>
    <w:rsid w:val="00062734"/>
    <w:rsid w:val="00062A7F"/>
    <w:rsid w:val="00063391"/>
    <w:rsid w:val="00063507"/>
    <w:rsid w:val="00063E1E"/>
    <w:rsid w:val="000642A9"/>
    <w:rsid w:val="000652A8"/>
    <w:rsid w:val="0006555D"/>
    <w:rsid w:val="00065C7C"/>
    <w:rsid w:val="0006619F"/>
    <w:rsid w:val="00066331"/>
    <w:rsid w:val="000664FF"/>
    <w:rsid w:val="00066D11"/>
    <w:rsid w:val="00066D2C"/>
    <w:rsid w:val="00067666"/>
    <w:rsid w:val="0006785F"/>
    <w:rsid w:val="00067B95"/>
    <w:rsid w:val="00067C37"/>
    <w:rsid w:val="00067E18"/>
    <w:rsid w:val="00070A0B"/>
    <w:rsid w:val="0007106E"/>
    <w:rsid w:val="0007116F"/>
    <w:rsid w:val="000718F0"/>
    <w:rsid w:val="00071C31"/>
    <w:rsid w:val="00071E83"/>
    <w:rsid w:val="000722C2"/>
    <w:rsid w:val="0007275D"/>
    <w:rsid w:val="000729AB"/>
    <w:rsid w:val="000735F7"/>
    <w:rsid w:val="00073D17"/>
    <w:rsid w:val="00074DFA"/>
    <w:rsid w:val="00075056"/>
    <w:rsid w:val="00075839"/>
    <w:rsid w:val="00075998"/>
    <w:rsid w:val="00075D6E"/>
    <w:rsid w:val="000761B5"/>
    <w:rsid w:val="0007632F"/>
    <w:rsid w:val="00076855"/>
    <w:rsid w:val="0007714D"/>
    <w:rsid w:val="000772B7"/>
    <w:rsid w:val="000777A9"/>
    <w:rsid w:val="000777C6"/>
    <w:rsid w:val="00077DD8"/>
    <w:rsid w:val="00080530"/>
    <w:rsid w:val="00081368"/>
    <w:rsid w:val="000837CB"/>
    <w:rsid w:val="00084780"/>
    <w:rsid w:val="0008488D"/>
    <w:rsid w:val="00084E44"/>
    <w:rsid w:val="00085549"/>
    <w:rsid w:val="00085E4D"/>
    <w:rsid w:val="00086EC8"/>
    <w:rsid w:val="0008738C"/>
    <w:rsid w:val="000875D9"/>
    <w:rsid w:val="00087896"/>
    <w:rsid w:val="00090016"/>
    <w:rsid w:val="00090DD7"/>
    <w:rsid w:val="00091425"/>
    <w:rsid w:val="00091597"/>
    <w:rsid w:val="00091625"/>
    <w:rsid w:val="00091AEC"/>
    <w:rsid w:val="00091D36"/>
    <w:rsid w:val="00091DFE"/>
    <w:rsid w:val="00091F6A"/>
    <w:rsid w:val="0009219D"/>
    <w:rsid w:val="000929BC"/>
    <w:rsid w:val="00092E92"/>
    <w:rsid w:val="00093642"/>
    <w:rsid w:val="000936F9"/>
    <w:rsid w:val="000939E8"/>
    <w:rsid w:val="000939F0"/>
    <w:rsid w:val="00093CD8"/>
    <w:rsid w:val="00093FCA"/>
    <w:rsid w:val="00094832"/>
    <w:rsid w:val="00094CD3"/>
    <w:rsid w:val="00096058"/>
    <w:rsid w:val="00096531"/>
    <w:rsid w:val="00096801"/>
    <w:rsid w:val="00096BC6"/>
    <w:rsid w:val="00097327"/>
    <w:rsid w:val="00097736"/>
    <w:rsid w:val="000979E5"/>
    <w:rsid w:val="00097B6E"/>
    <w:rsid w:val="00097F4F"/>
    <w:rsid w:val="000A0588"/>
    <w:rsid w:val="000A10CE"/>
    <w:rsid w:val="000A1553"/>
    <w:rsid w:val="000A1806"/>
    <w:rsid w:val="000A1970"/>
    <w:rsid w:val="000A1ED8"/>
    <w:rsid w:val="000A26AE"/>
    <w:rsid w:val="000A2F3B"/>
    <w:rsid w:val="000A2FF8"/>
    <w:rsid w:val="000A32DA"/>
    <w:rsid w:val="000A37D7"/>
    <w:rsid w:val="000A3A91"/>
    <w:rsid w:val="000A3B4F"/>
    <w:rsid w:val="000A3C88"/>
    <w:rsid w:val="000A689F"/>
    <w:rsid w:val="000A6BD1"/>
    <w:rsid w:val="000A723E"/>
    <w:rsid w:val="000A7BEB"/>
    <w:rsid w:val="000A7C25"/>
    <w:rsid w:val="000B0206"/>
    <w:rsid w:val="000B0972"/>
    <w:rsid w:val="000B097F"/>
    <w:rsid w:val="000B0A4F"/>
    <w:rsid w:val="000B0AC9"/>
    <w:rsid w:val="000B0EC0"/>
    <w:rsid w:val="000B1490"/>
    <w:rsid w:val="000B16AB"/>
    <w:rsid w:val="000B1751"/>
    <w:rsid w:val="000B1BA4"/>
    <w:rsid w:val="000B1DD4"/>
    <w:rsid w:val="000B262F"/>
    <w:rsid w:val="000B27BF"/>
    <w:rsid w:val="000B2940"/>
    <w:rsid w:val="000B29F9"/>
    <w:rsid w:val="000B2E3E"/>
    <w:rsid w:val="000B330F"/>
    <w:rsid w:val="000B35AA"/>
    <w:rsid w:val="000B3843"/>
    <w:rsid w:val="000B3AE7"/>
    <w:rsid w:val="000B3B28"/>
    <w:rsid w:val="000B3F8C"/>
    <w:rsid w:val="000B41A5"/>
    <w:rsid w:val="000B44BB"/>
    <w:rsid w:val="000B4631"/>
    <w:rsid w:val="000B4F8C"/>
    <w:rsid w:val="000B5228"/>
    <w:rsid w:val="000B5450"/>
    <w:rsid w:val="000B5A2E"/>
    <w:rsid w:val="000B5B1C"/>
    <w:rsid w:val="000B5D1B"/>
    <w:rsid w:val="000B6ABC"/>
    <w:rsid w:val="000B6F4E"/>
    <w:rsid w:val="000B7449"/>
    <w:rsid w:val="000C0022"/>
    <w:rsid w:val="000C002A"/>
    <w:rsid w:val="000C0AF3"/>
    <w:rsid w:val="000C0BFE"/>
    <w:rsid w:val="000C0C3C"/>
    <w:rsid w:val="000C0D10"/>
    <w:rsid w:val="000C0F41"/>
    <w:rsid w:val="000C13CD"/>
    <w:rsid w:val="000C157D"/>
    <w:rsid w:val="000C15F6"/>
    <w:rsid w:val="000C1E96"/>
    <w:rsid w:val="000C1FED"/>
    <w:rsid w:val="000C2220"/>
    <w:rsid w:val="000C2DAA"/>
    <w:rsid w:val="000C2E7A"/>
    <w:rsid w:val="000C3264"/>
    <w:rsid w:val="000C33E8"/>
    <w:rsid w:val="000C3517"/>
    <w:rsid w:val="000C36C2"/>
    <w:rsid w:val="000C3A1C"/>
    <w:rsid w:val="000C4542"/>
    <w:rsid w:val="000C4B74"/>
    <w:rsid w:val="000C4F17"/>
    <w:rsid w:val="000C4F31"/>
    <w:rsid w:val="000C525F"/>
    <w:rsid w:val="000C53E8"/>
    <w:rsid w:val="000C5A57"/>
    <w:rsid w:val="000C5EF5"/>
    <w:rsid w:val="000C66BC"/>
    <w:rsid w:val="000C6EF3"/>
    <w:rsid w:val="000C6F41"/>
    <w:rsid w:val="000C724A"/>
    <w:rsid w:val="000C755E"/>
    <w:rsid w:val="000C791B"/>
    <w:rsid w:val="000C7C4A"/>
    <w:rsid w:val="000D057E"/>
    <w:rsid w:val="000D0688"/>
    <w:rsid w:val="000D12AB"/>
    <w:rsid w:val="000D1936"/>
    <w:rsid w:val="000D207B"/>
    <w:rsid w:val="000D24D2"/>
    <w:rsid w:val="000D2A44"/>
    <w:rsid w:val="000D2A6D"/>
    <w:rsid w:val="000D2BA9"/>
    <w:rsid w:val="000D2FCA"/>
    <w:rsid w:val="000D3A78"/>
    <w:rsid w:val="000D3E01"/>
    <w:rsid w:val="000D4200"/>
    <w:rsid w:val="000D4345"/>
    <w:rsid w:val="000D4F72"/>
    <w:rsid w:val="000D50B9"/>
    <w:rsid w:val="000D52FA"/>
    <w:rsid w:val="000D53DD"/>
    <w:rsid w:val="000D59A3"/>
    <w:rsid w:val="000D6465"/>
    <w:rsid w:val="000D6A49"/>
    <w:rsid w:val="000D736F"/>
    <w:rsid w:val="000D78FB"/>
    <w:rsid w:val="000D7AC3"/>
    <w:rsid w:val="000E0011"/>
    <w:rsid w:val="000E00CD"/>
    <w:rsid w:val="000E0A89"/>
    <w:rsid w:val="000E0E3D"/>
    <w:rsid w:val="000E104B"/>
    <w:rsid w:val="000E2066"/>
    <w:rsid w:val="000E21E7"/>
    <w:rsid w:val="000E2654"/>
    <w:rsid w:val="000E2700"/>
    <w:rsid w:val="000E2785"/>
    <w:rsid w:val="000E2A1D"/>
    <w:rsid w:val="000E3A7F"/>
    <w:rsid w:val="000E3DB8"/>
    <w:rsid w:val="000E407F"/>
    <w:rsid w:val="000E4ED3"/>
    <w:rsid w:val="000E53A5"/>
    <w:rsid w:val="000E55CF"/>
    <w:rsid w:val="000E56D5"/>
    <w:rsid w:val="000E5AB2"/>
    <w:rsid w:val="000E5C06"/>
    <w:rsid w:val="000E6337"/>
    <w:rsid w:val="000E715C"/>
    <w:rsid w:val="000E72A4"/>
    <w:rsid w:val="000E72FE"/>
    <w:rsid w:val="000E7303"/>
    <w:rsid w:val="000E746A"/>
    <w:rsid w:val="000E767A"/>
    <w:rsid w:val="000E7C32"/>
    <w:rsid w:val="000F06E4"/>
    <w:rsid w:val="000F07BD"/>
    <w:rsid w:val="000F0AAB"/>
    <w:rsid w:val="000F0EA3"/>
    <w:rsid w:val="000F17E9"/>
    <w:rsid w:val="000F2784"/>
    <w:rsid w:val="000F2973"/>
    <w:rsid w:val="000F2A2D"/>
    <w:rsid w:val="000F2B64"/>
    <w:rsid w:val="000F2BF6"/>
    <w:rsid w:val="000F32B6"/>
    <w:rsid w:val="000F3F55"/>
    <w:rsid w:val="000F4A14"/>
    <w:rsid w:val="000F4AF9"/>
    <w:rsid w:val="000F51A4"/>
    <w:rsid w:val="000F548B"/>
    <w:rsid w:val="000F5A9C"/>
    <w:rsid w:val="000F6630"/>
    <w:rsid w:val="000F682F"/>
    <w:rsid w:val="000F6D9F"/>
    <w:rsid w:val="000F744B"/>
    <w:rsid w:val="001002A8"/>
    <w:rsid w:val="00100565"/>
    <w:rsid w:val="0010069A"/>
    <w:rsid w:val="001006C4"/>
    <w:rsid w:val="001009E8"/>
    <w:rsid w:val="00100D81"/>
    <w:rsid w:val="001013F2"/>
    <w:rsid w:val="001014E5"/>
    <w:rsid w:val="00101586"/>
    <w:rsid w:val="00101723"/>
    <w:rsid w:val="00101DBF"/>
    <w:rsid w:val="00101DF7"/>
    <w:rsid w:val="001025A1"/>
    <w:rsid w:val="00102B05"/>
    <w:rsid w:val="00102B90"/>
    <w:rsid w:val="0010309A"/>
    <w:rsid w:val="001034D4"/>
    <w:rsid w:val="00103B45"/>
    <w:rsid w:val="00103C4E"/>
    <w:rsid w:val="001042FD"/>
    <w:rsid w:val="00104C4F"/>
    <w:rsid w:val="0010527B"/>
    <w:rsid w:val="00105816"/>
    <w:rsid w:val="00106126"/>
    <w:rsid w:val="00106253"/>
    <w:rsid w:val="00106635"/>
    <w:rsid w:val="00106EE5"/>
    <w:rsid w:val="0010727B"/>
    <w:rsid w:val="001072BB"/>
    <w:rsid w:val="0010751B"/>
    <w:rsid w:val="00107805"/>
    <w:rsid w:val="00107AA4"/>
    <w:rsid w:val="0011085A"/>
    <w:rsid w:val="0011159E"/>
    <w:rsid w:val="00111F8E"/>
    <w:rsid w:val="00112A14"/>
    <w:rsid w:val="00112C9A"/>
    <w:rsid w:val="001143EE"/>
    <w:rsid w:val="001147B7"/>
    <w:rsid w:val="00115045"/>
    <w:rsid w:val="00115230"/>
    <w:rsid w:val="001157C9"/>
    <w:rsid w:val="00116306"/>
    <w:rsid w:val="0011660A"/>
    <w:rsid w:val="0011674C"/>
    <w:rsid w:val="001169DE"/>
    <w:rsid w:val="00116AC8"/>
    <w:rsid w:val="001170CB"/>
    <w:rsid w:val="00117216"/>
    <w:rsid w:val="0011739E"/>
    <w:rsid w:val="001200C7"/>
    <w:rsid w:val="0012028B"/>
    <w:rsid w:val="001206ED"/>
    <w:rsid w:val="001209D3"/>
    <w:rsid w:val="00120A92"/>
    <w:rsid w:val="00120BF3"/>
    <w:rsid w:val="0012152D"/>
    <w:rsid w:val="00121B9D"/>
    <w:rsid w:val="00121BE3"/>
    <w:rsid w:val="00121D16"/>
    <w:rsid w:val="00121E79"/>
    <w:rsid w:val="001222EA"/>
    <w:rsid w:val="00122682"/>
    <w:rsid w:val="00122748"/>
    <w:rsid w:val="00122B7A"/>
    <w:rsid w:val="00122BA7"/>
    <w:rsid w:val="00123775"/>
    <w:rsid w:val="001238D8"/>
    <w:rsid w:val="00123B10"/>
    <w:rsid w:val="00123B3B"/>
    <w:rsid w:val="001241FC"/>
    <w:rsid w:val="00124AC5"/>
    <w:rsid w:val="0012503A"/>
    <w:rsid w:val="00126A6C"/>
    <w:rsid w:val="00126EB3"/>
    <w:rsid w:val="001272F3"/>
    <w:rsid w:val="00127313"/>
    <w:rsid w:val="00127595"/>
    <w:rsid w:val="00127DC9"/>
    <w:rsid w:val="00130A1E"/>
    <w:rsid w:val="00130CF2"/>
    <w:rsid w:val="00130D14"/>
    <w:rsid w:val="001312A9"/>
    <w:rsid w:val="0013140D"/>
    <w:rsid w:val="001316EB"/>
    <w:rsid w:val="00131998"/>
    <w:rsid w:val="00131A83"/>
    <w:rsid w:val="00131B95"/>
    <w:rsid w:val="00131BE1"/>
    <w:rsid w:val="00131F6A"/>
    <w:rsid w:val="00133D25"/>
    <w:rsid w:val="00134599"/>
    <w:rsid w:val="00135084"/>
    <w:rsid w:val="0013515D"/>
    <w:rsid w:val="00135A64"/>
    <w:rsid w:val="0013609D"/>
    <w:rsid w:val="0013695B"/>
    <w:rsid w:val="00137A05"/>
    <w:rsid w:val="00140167"/>
    <w:rsid w:val="001404A0"/>
    <w:rsid w:val="0014073E"/>
    <w:rsid w:val="00140C05"/>
    <w:rsid w:val="00140DAA"/>
    <w:rsid w:val="00140FA3"/>
    <w:rsid w:val="00140FC3"/>
    <w:rsid w:val="001412A3"/>
    <w:rsid w:val="001419AA"/>
    <w:rsid w:val="00141AEE"/>
    <w:rsid w:val="001426EB"/>
    <w:rsid w:val="00142840"/>
    <w:rsid w:val="00142EDB"/>
    <w:rsid w:val="00142F1D"/>
    <w:rsid w:val="001433A9"/>
    <w:rsid w:val="00143557"/>
    <w:rsid w:val="0014369B"/>
    <w:rsid w:val="00143778"/>
    <w:rsid w:val="00143D7B"/>
    <w:rsid w:val="00143E6E"/>
    <w:rsid w:val="001443D7"/>
    <w:rsid w:val="00144435"/>
    <w:rsid w:val="001446FB"/>
    <w:rsid w:val="00144D1B"/>
    <w:rsid w:val="00145DBB"/>
    <w:rsid w:val="00145FC5"/>
    <w:rsid w:val="00146395"/>
    <w:rsid w:val="00146AF8"/>
    <w:rsid w:val="001503A3"/>
    <w:rsid w:val="00150D38"/>
    <w:rsid w:val="00150DC7"/>
    <w:rsid w:val="001511A1"/>
    <w:rsid w:val="00151890"/>
    <w:rsid w:val="001519DF"/>
    <w:rsid w:val="00151E70"/>
    <w:rsid w:val="00151FA8"/>
    <w:rsid w:val="001526F9"/>
    <w:rsid w:val="00153503"/>
    <w:rsid w:val="001543F3"/>
    <w:rsid w:val="00154693"/>
    <w:rsid w:val="0015499D"/>
    <w:rsid w:val="00154B57"/>
    <w:rsid w:val="00154CF9"/>
    <w:rsid w:val="00154E46"/>
    <w:rsid w:val="00154EC6"/>
    <w:rsid w:val="00154FA3"/>
    <w:rsid w:val="00155055"/>
    <w:rsid w:val="001558B0"/>
    <w:rsid w:val="001559AE"/>
    <w:rsid w:val="00155A18"/>
    <w:rsid w:val="00155B7C"/>
    <w:rsid w:val="00155C8F"/>
    <w:rsid w:val="00155F3A"/>
    <w:rsid w:val="0015679F"/>
    <w:rsid w:val="00156D6B"/>
    <w:rsid w:val="00156DCC"/>
    <w:rsid w:val="001573D3"/>
    <w:rsid w:val="001576CD"/>
    <w:rsid w:val="001577FB"/>
    <w:rsid w:val="00157A8E"/>
    <w:rsid w:val="00160328"/>
    <w:rsid w:val="00160400"/>
    <w:rsid w:val="00160BC4"/>
    <w:rsid w:val="00161246"/>
    <w:rsid w:val="001617ED"/>
    <w:rsid w:val="00161853"/>
    <w:rsid w:val="00161AF3"/>
    <w:rsid w:val="00161D64"/>
    <w:rsid w:val="00162318"/>
    <w:rsid w:val="001623E4"/>
    <w:rsid w:val="001625CC"/>
    <w:rsid w:val="00163157"/>
    <w:rsid w:val="00163597"/>
    <w:rsid w:val="00163685"/>
    <w:rsid w:val="00163795"/>
    <w:rsid w:val="0016443C"/>
    <w:rsid w:val="00164904"/>
    <w:rsid w:val="001649E0"/>
    <w:rsid w:val="001652B1"/>
    <w:rsid w:val="00165375"/>
    <w:rsid w:val="00165524"/>
    <w:rsid w:val="001658B7"/>
    <w:rsid w:val="00166314"/>
    <w:rsid w:val="00166AFE"/>
    <w:rsid w:val="00167C6C"/>
    <w:rsid w:val="00167ED6"/>
    <w:rsid w:val="00170295"/>
    <w:rsid w:val="00170764"/>
    <w:rsid w:val="00170D8F"/>
    <w:rsid w:val="00170DD3"/>
    <w:rsid w:val="00170EBC"/>
    <w:rsid w:val="00170FCE"/>
    <w:rsid w:val="00171153"/>
    <w:rsid w:val="001711DD"/>
    <w:rsid w:val="00171593"/>
    <w:rsid w:val="0017184A"/>
    <w:rsid w:val="0017196A"/>
    <w:rsid w:val="00171F41"/>
    <w:rsid w:val="001726F3"/>
    <w:rsid w:val="00172950"/>
    <w:rsid w:val="00172B22"/>
    <w:rsid w:val="001732A0"/>
    <w:rsid w:val="001739A1"/>
    <w:rsid w:val="0017433D"/>
    <w:rsid w:val="00174DC7"/>
    <w:rsid w:val="001757BD"/>
    <w:rsid w:val="00175ADE"/>
    <w:rsid w:val="00175CBB"/>
    <w:rsid w:val="001769E4"/>
    <w:rsid w:val="00176E04"/>
    <w:rsid w:val="00176E51"/>
    <w:rsid w:val="00176FAC"/>
    <w:rsid w:val="00177302"/>
    <w:rsid w:val="00177608"/>
    <w:rsid w:val="00180295"/>
    <w:rsid w:val="001804A5"/>
    <w:rsid w:val="00180A7F"/>
    <w:rsid w:val="00180B44"/>
    <w:rsid w:val="00180C63"/>
    <w:rsid w:val="00181442"/>
    <w:rsid w:val="00181443"/>
    <w:rsid w:val="00181506"/>
    <w:rsid w:val="00181D08"/>
    <w:rsid w:val="00182264"/>
    <w:rsid w:val="00182953"/>
    <w:rsid w:val="00182A70"/>
    <w:rsid w:val="00182B09"/>
    <w:rsid w:val="00182D8C"/>
    <w:rsid w:val="001830CF"/>
    <w:rsid w:val="001831D9"/>
    <w:rsid w:val="00183D3C"/>
    <w:rsid w:val="00184298"/>
    <w:rsid w:val="001843D5"/>
    <w:rsid w:val="00184B5A"/>
    <w:rsid w:val="00184CAE"/>
    <w:rsid w:val="0018563E"/>
    <w:rsid w:val="00185733"/>
    <w:rsid w:val="001858BD"/>
    <w:rsid w:val="00186028"/>
    <w:rsid w:val="0018649C"/>
    <w:rsid w:val="00186B7C"/>
    <w:rsid w:val="00186D89"/>
    <w:rsid w:val="0018701C"/>
    <w:rsid w:val="00187B61"/>
    <w:rsid w:val="00190559"/>
    <w:rsid w:val="0019081D"/>
    <w:rsid w:val="001913C5"/>
    <w:rsid w:val="00191723"/>
    <w:rsid w:val="00191B5E"/>
    <w:rsid w:val="001923D2"/>
    <w:rsid w:val="0019240A"/>
    <w:rsid w:val="0019253A"/>
    <w:rsid w:val="00192690"/>
    <w:rsid w:val="00192903"/>
    <w:rsid w:val="001930D2"/>
    <w:rsid w:val="0019385C"/>
    <w:rsid w:val="0019386A"/>
    <w:rsid w:val="00193B04"/>
    <w:rsid w:val="00194238"/>
    <w:rsid w:val="00194366"/>
    <w:rsid w:val="00194795"/>
    <w:rsid w:val="0019492A"/>
    <w:rsid w:val="00194981"/>
    <w:rsid w:val="00194FDF"/>
    <w:rsid w:val="00195358"/>
    <w:rsid w:val="00195E63"/>
    <w:rsid w:val="0019652A"/>
    <w:rsid w:val="00197279"/>
    <w:rsid w:val="001975FB"/>
    <w:rsid w:val="0019765E"/>
    <w:rsid w:val="00197706"/>
    <w:rsid w:val="0019784E"/>
    <w:rsid w:val="00197D06"/>
    <w:rsid w:val="001A070A"/>
    <w:rsid w:val="001A0A0E"/>
    <w:rsid w:val="001A0B88"/>
    <w:rsid w:val="001A17D4"/>
    <w:rsid w:val="001A1BA0"/>
    <w:rsid w:val="001A1EA1"/>
    <w:rsid w:val="001A2365"/>
    <w:rsid w:val="001A2607"/>
    <w:rsid w:val="001A280C"/>
    <w:rsid w:val="001A29EA"/>
    <w:rsid w:val="001A2A46"/>
    <w:rsid w:val="001A3478"/>
    <w:rsid w:val="001A3B49"/>
    <w:rsid w:val="001A3B76"/>
    <w:rsid w:val="001A3B91"/>
    <w:rsid w:val="001A446D"/>
    <w:rsid w:val="001A4764"/>
    <w:rsid w:val="001A4FE7"/>
    <w:rsid w:val="001A5152"/>
    <w:rsid w:val="001A5181"/>
    <w:rsid w:val="001A595F"/>
    <w:rsid w:val="001A5B06"/>
    <w:rsid w:val="001A5E83"/>
    <w:rsid w:val="001A62A6"/>
    <w:rsid w:val="001A6364"/>
    <w:rsid w:val="001A6B93"/>
    <w:rsid w:val="001A6DA3"/>
    <w:rsid w:val="001A6E25"/>
    <w:rsid w:val="001A7BF3"/>
    <w:rsid w:val="001B03F0"/>
    <w:rsid w:val="001B0423"/>
    <w:rsid w:val="001B08A5"/>
    <w:rsid w:val="001B0E7B"/>
    <w:rsid w:val="001B1732"/>
    <w:rsid w:val="001B1897"/>
    <w:rsid w:val="001B1A49"/>
    <w:rsid w:val="001B1FAA"/>
    <w:rsid w:val="001B2095"/>
    <w:rsid w:val="001B2868"/>
    <w:rsid w:val="001B2D7E"/>
    <w:rsid w:val="001B326D"/>
    <w:rsid w:val="001B3312"/>
    <w:rsid w:val="001B3488"/>
    <w:rsid w:val="001B3752"/>
    <w:rsid w:val="001B3FBF"/>
    <w:rsid w:val="001B4013"/>
    <w:rsid w:val="001B4221"/>
    <w:rsid w:val="001B50BB"/>
    <w:rsid w:val="001B53E0"/>
    <w:rsid w:val="001B5A99"/>
    <w:rsid w:val="001B5B8A"/>
    <w:rsid w:val="001B5ECB"/>
    <w:rsid w:val="001B6BEC"/>
    <w:rsid w:val="001B6C66"/>
    <w:rsid w:val="001B6E2F"/>
    <w:rsid w:val="001B6FC4"/>
    <w:rsid w:val="001B718C"/>
    <w:rsid w:val="001B72A8"/>
    <w:rsid w:val="001C0AD6"/>
    <w:rsid w:val="001C0B8C"/>
    <w:rsid w:val="001C0DC4"/>
    <w:rsid w:val="001C0F94"/>
    <w:rsid w:val="001C1168"/>
    <w:rsid w:val="001C1877"/>
    <w:rsid w:val="001C1B84"/>
    <w:rsid w:val="001C1D3D"/>
    <w:rsid w:val="001C1DD3"/>
    <w:rsid w:val="001C22B1"/>
    <w:rsid w:val="001C2683"/>
    <w:rsid w:val="001C2AAD"/>
    <w:rsid w:val="001C2B72"/>
    <w:rsid w:val="001C3050"/>
    <w:rsid w:val="001C3536"/>
    <w:rsid w:val="001C35BC"/>
    <w:rsid w:val="001C35BE"/>
    <w:rsid w:val="001C35DB"/>
    <w:rsid w:val="001C3DD8"/>
    <w:rsid w:val="001C3F24"/>
    <w:rsid w:val="001C41C0"/>
    <w:rsid w:val="001C44C4"/>
    <w:rsid w:val="001C4E15"/>
    <w:rsid w:val="001C5C3D"/>
    <w:rsid w:val="001C66FB"/>
    <w:rsid w:val="001C68A1"/>
    <w:rsid w:val="001C6CB4"/>
    <w:rsid w:val="001C752A"/>
    <w:rsid w:val="001C75B2"/>
    <w:rsid w:val="001C78AE"/>
    <w:rsid w:val="001D0179"/>
    <w:rsid w:val="001D022F"/>
    <w:rsid w:val="001D0930"/>
    <w:rsid w:val="001D0A10"/>
    <w:rsid w:val="001D1223"/>
    <w:rsid w:val="001D17FB"/>
    <w:rsid w:val="001D1F10"/>
    <w:rsid w:val="001D24E5"/>
    <w:rsid w:val="001D2D76"/>
    <w:rsid w:val="001D382F"/>
    <w:rsid w:val="001D3C98"/>
    <w:rsid w:val="001D3F8B"/>
    <w:rsid w:val="001D46E7"/>
    <w:rsid w:val="001D496C"/>
    <w:rsid w:val="001D4A26"/>
    <w:rsid w:val="001D4B05"/>
    <w:rsid w:val="001D554D"/>
    <w:rsid w:val="001D5617"/>
    <w:rsid w:val="001D5AC0"/>
    <w:rsid w:val="001D5BE0"/>
    <w:rsid w:val="001D5C84"/>
    <w:rsid w:val="001D6950"/>
    <w:rsid w:val="001D7684"/>
    <w:rsid w:val="001D79B7"/>
    <w:rsid w:val="001D7B1F"/>
    <w:rsid w:val="001D7B59"/>
    <w:rsid w:val="001D7BAD"/>
    <w:rsid w:val="001E0029"/>
    <w:rsid w:val="001E01E0"/>
    <w:rsid w:val="001E05D1"/>
    <w:rsid w:val="001E0DF9"/>
    <w:rsid w:val="001E1B34"/>
    <w:rsid w:val="001E1B43"/>
    <w:rsid w:val="001E1F7D"/>
    <w:rsid w:val="001E1F97"/>
    <w:rsid w:val="001E2137"/>
    <w:rsid w:val="001E2448"/>
    <w:rsid w:val="001E2684"/>
    <w:rsid w:val="001E2834"/>
    <w:rsid w:val="001E2EF4"/>
    <w:rsid w:val="001E33AD"/>
    <w:rsid w:val="001E3584"/>
    <w:rsid w:val="001E4230"/>
    <w:rsid w:val="001E4573"/>
    <w:rsid w:val="001E465E"/>
    <w:rsid w:val="001E478C"/>
    <w:rsid w:val="001E4834"/>
    <w:rsid w:val="001E54CE"/>
    <w:rsid w:val="001E5A13"/>
    <w:rsid w:val="001E5DAB"/>
    <w:rsid w:val="001E6083"/>
    <w:rsid w:val="001E620F"/>
    <w:rsid w:val="001E62B3"/>
    <w:rsid w:val="001E646B"/>
    <w:rsid w:val="001E6C12"/>
    <w:rsid w:val="001E6EE4"/>
    <w:rsid w:val="001E731D"/>
    <w:rsid w:val="001E7B34"/>
    <w:rsid w:val="001E7B7B"/>
    <w:rsid w:val="001F0193"/>
    <w:rsid w:val="001F0523"/>
    <w:rsid w:val="001F1139"/>
    <w:rsid w:val="001F119B"/>
    <w:rsid w:val="001F12D7"/>
    <w:rsid w:val="001F1353"/>
    <w:rsid w:val="001F1A4E"/>
    <w:rsid w:val="001F1B18"/>
    <w:rsid w:val="001F1BF8"/>
    <w:rsid w:val="001F1DF0"/>
    <w:rsid w:val="001F2128"/>
    <w:rsid w:val="001F21E1"/>
    <w:rsid w:val="001F25DE"/>
    <w:rsid w:val="001F43AA"/>
    <w:rsid w:val="001F4551"/>
    <w:rsid w:val="001F4788"/>
    <w:rsid w:val="001F4BE8"/>
    <w:rsid w:val="001F4C5F"/>
    <w:rsid w:val="001F4F0F"/>
    <w:rsid w:val="001F5157"/>
    <w:rsid w:val="001F692F"/>
    <w:rsid w:val="001F69E0"/>
    <w:rsid w:val="001F6A41"/>
    <w:rsid w:val="001F7183"/>
    <w:rsid w:val="001F73B7"/>
    <w:rsid w:val="001F76D9"/>
    <w:rsid w:val="001F7F4D"/>
    <w:rsid w:val="00201E7D"/>
    <w:rsid w:val="002022C6"/>
    <w:rsid w:val="00202579"/>
    <w:rsid w:val="00202CFC"/>
    <w:rsid w:val="00203236"/>
    <w:rsid w:val="002033F1"/>
    <w:rsid w:val="00203423"/>
    <w:rsid w:val="00203BBE"/>
    <w:rsid w:val="0020479A"/>
    <w:rsid w:val="00204866"/>
    <w:rsid w:val="00205F7A"/>
    <w:rsid w:val="002065C8"/>
    <w:rsid w:val="002066F4"/>
    <w:rsid w:val="00207016"/>
    <w:rsid w:val="0020723F"/>
    <w:rsid w:val="00207449"/>
    <w:rsid w:val="002077C5"/>
    <w:rsid w:val="00210070"/>
    <w:rsid w:val="00210141"/>
    <w:rsid w:val="0021080C"/>
    <w:rsid w:val="002109AF"/>
    <w:rsid w:val="00210E2A"/>
    <w:rsid w:val="00210E35"/>
    <w:rsid w:val="0021177D"/>
    <w:rsid w:val="002118F1"/>
    <w:rsid w:val="00211972"/>
    <w:rsid w:val="00211B4A"/>
    <w:rsid w:val="00212157"/>
    <w:rsid w:val="00212CA6"/>
    <w:rsid w:val="00212F52"/>
    <w:rsid w:val="002131F0"/>
    <w:rsid w:val="00213214"/>
    <w:rsid w:val="002133D2"/>
    <w:rsid w:val="00213E57"/>
    <w:rsid w:val="00214341"/>
    <w:rsid w:val="00214744"/>
    <w:rsid w:val="0021495A"/>
    <w:rsid w:val="00214C2B"/>
    <w:rsid w:val="00214DAC"/>
    <w:rsid w:val="00215C46"/>
    <w:rsid w:val="00215E98"/>
    <w:rsid w:val="0021673F"/>
    <w:rsid w:val="0021681B"/>
    <w:rsid w:val="00216CF8"/>
    <w:rsid w:val="00216D8D"/>
    <w:rsid w:val="00217179"/>
    <w:rsid w:val="00217186"/>
    <w:rsid w:val="00217EFE"/>
    <w:rsid w:val="002201D4"/>
    <w:rsid w:val="00220C80"/>
    <w:rsid w:val="002213A2"/>
    <w:rsid w:val="002217BD"/>
    <w:rsid w:val="00221F73"/>
    <w:rsid w:val="002225C8"/>
    <w:rsid w:val="0022299D"/>
    <w:rsid w:val="00222BAF"/>
    <w:rsid w:val="00222C3F"/>
    <w:rsid w:val="00222C77"/>
    <w:rsid w:val="00222F55"/>
    <w:rsid w:val="00223031"/>
    <w:rsid w:val="00224048"/>
    <w:rsid w:val="0022412D"/>
    <w:rsid w:val="002241E5"/>
    <w:rsid w:val="002244E0"/>
    <w:rsid w:val="00224662"/>
    <w:rsid w:val="0022473C"/>
    <w:rsid w:val="00225578"/>
    <w:rsid w:val="00225994"/>
    <w:rsid w:val="00225DF6"/>
    <w:rsid w:val="0022698C"/>
    <w:rsid w:val="00226B21"/>
    <w:rsid w:val="00226C13"/>
    <w:rsid w:val="00226CD5"/>
    <w:rsid w:val="00226FD8"/>
    <w:rsid w:val="002275F0"/>
    <w:rsid w:val="00227F30"/>
    <w:rsid w:val="00230192"/>
    <w:rsid w:val="00230561"/>
    <w:rsid w:val="0023093F"/>
    <w:rsid w:val="00230F16"/>
    <w:rsid w:val="002312C2"/>
    <w:rsid w:val="002312C9"/>
    <w:rsid w:val="00231F43"/>
    <w:rsid w:val="002329F4"/>
    <w:rsid w:val="00232B2A"/>
    <w:rsid w:val="002332D3"/>
    <w:rsid w:val="00233619"/>
    <w:rsid w:val="00233875"/>
    <w:rsid w:val="00233987"/>
    <w:rsid w:val="0023399B"/>
    <w:rsid w:val="00233E49"/>
    <w:rsid w:val="002346D6"/>
    <w:rsid w:val="0023475B"/>
    <w:rsid w:val="00234894"/>
    <w:rsid w:val="002349CA"/>
    <w:rsid w:val="002364F3"/>
    <w:rsid w:val="00236B7F"/>
    <w:rsid w:val="002372B1"/>
    <w:rsid w:val="00241280"/>
    <w:rsid w:val="0024219C"/>
    <w:rsid w:val="00242A68"/>
    <w:rsid w:val="00242BEB"/>
    <w:rsid w:val="002432FD"/>
    <w:rsid w:val="00243713"/>
    <w:rsid w:val="00243842"/>
    <w:rsid w:val="00243F34"/>
    <w:rsid w:val="00244051"/>
    <w:rsid w:val="00244BD6"/>
    <w:rsid w:val="00245480"/>
    <w:rsid w:val="0024559C"/>
    <w:rsid w:val="0024574E"/>
    <w:rsid w:val="0024589D"/>
    <w:rsid w:val="002461B7"/>
    <w:rsid w:val="00246407"/>
    <w:rsid w:val="002468BC"/>
    <w:rsid w:val="002468E1"/>
    <w:rsid w:val="00247497"/>
    <w:rsid w:val="00247914"/>
    <w:rsid w:val="00247CD6"/>
    <w:rsid w:val="00247DE6"/>
    <w:rsid w:val="00247E82"/>
    <w:rsid w:val="0025007B"/>
    <w:rsid w:val="00250F1E"/>
    <w:rsid w:val="002512E1"/>
    <w:rsid w:val="00251707"/>
    <w:rsid w:val="002517DE"/>
    <w:rsid w:val="00251AB2"/>
    <w:rsid w:val="00251E85"/>
    <w:rsid w:val="00251F6D"/>
    <w:rsid w:val="002520C1"/>
    <w:rsid w:val="00252305"/>
    <w:rsid w:val="00252752"/>
    <w:rsid w:val="00252A45"/>
    <w:rsid w:val="00252F99"/>
    <w:rsid w:val="0025358F"/>
    <w:rsid w:val="00253754"/>
    <w:rsid w:val="0025397F"/>
    <w:rsid w:val="00253B0C"/>
    <w:rsid w:val="00254B6E"/>
    <w:rsid w:val="00254C55"/>
    <w:rsid w:val="0025520B"/>
    <w:rsid w:val="00255387"/>
    <w:rsid w:val="00255697"/>
    <w:rsid w:val="00255F47"/>
    <w:rsid w:val="002562DA"/>
    <w:rsid w:val="00256DE1"/>
    <w:rsid w:val="00256E84"/>
    <w:rsid w:val="00257097"/>
    <w:rsid w:val="002571A9"/>
    <w:rsid w:val="00257501"/>
    <w:rsid w:val="00257674"/>
    <w:rsid w:val="00257705"/>
    <w:rsid w:val="00257B28"/>
    <w:rsid w:val="00260446"/>
    <w:rsid w:val="0026055D"/>
    <w:rsid w:val="00260BD6"/>
    <w:rsid w:val="00260CDF"/>
    <w:rsid w:val="00260DDD"/>
    <w:rsid w:val="0026121B"/>
    <w:rsid w:val="00261299"/>
    <w:rsid w:val="002612F3"/>
    <w:rsid w:val="00261F33"/>
    <w:rsid w:val="0026231F"/>
    <w:rsid w:val="00262640"/>
    <w:rsid w:val="0026340C"/>
    <w:rsid w:val="00263A5B"/>
    <w:rsid w:val="00263D5B"/>
    <w:rsid w:val="002643E6"/>
    <w:rsid w:val="00264465"/>
    <w:rsid w:val="002645D6"/>
    <w:rsid w:val="0026475E"/>
    <w:rsid w:val="00264A03"/>
    <w:rsid w:val="00264DDF"/>
    <w:rsid w:val="00264E20"/>
    <w:rsid w:val="00264E92"/>
    <w:rsid w:val="002657C1"/>
    <w:rsid w:val="00265D17"/>
    <w:rsid w:val="00266363"/>
    <w:rsid w:val="00266692"/>
    <w:rsid w:val="00266D28"/>
    <w:rsid w:val="00266EB6"/>
    <w:rsid w:val="00266EBB"/>
    <w:rsid w:val="00267187"/>
    <w:rsid w:val="00267739"/>
    <w:rsid w:val="002677A2"/>
    <w:rsid w:val="00270258"/>
    <w:rsid w:val="002702E1"/>
    <w:rsid w:val="00270501"/>
    <w:rsid w:val="00270B3A"/>
    <w:rsid w:val="00270BAF"/>
    <w:rsid w:val="00270C84"/>
    <w:rsid w:val="00271714"/>
    <w:rsid w:val="00271F9E"/>
    <w:rsid w:val="00272243"/>
    <w:rsid w:val="002728AE"/>
    <w:rsid w:val="00272CA2"/>
    <w:rsid w:val="00272CF3"/>
    <w:rsid w:val="00273A11"/>
    <w:rsid w:val="00273F0A"/>
    <w:rsid w:val="0027411F"/>
    <w:rsid w:val="00274DC6"/>
    <w:rsid w:val="00275A2E"/>
    <w:rsid w:val="00275BA8"/>
    <w:rsid w:val="00275BE1"/>
    <w:rsid w:val="00275EDB"/>
    <w:rsid w:val="00275F59"/>
    <w:rsid w:val="002760AB"/>
    <w:rsid w:val="0027611D"/>
    <w:rsid w:val="002764C0"/>
    <w:rsid w:val="00276F55"/>
    <w:rsid w:val="0027749A"/>
    <w:rsid w:val="00277785"/>
    <w:rsid w:val="0027789D"/>
    <w:rsid w:val="00277CAC"/>
    <w:rsid w:val="00277DAC"/>
    <w:rsid w:val="00280750"/>
    <w:rsid w:val="00280B34"/>
    <w:rsid w:val="002817B6"/>
    <w:rsid w:val="002824FA"/>
    <w:rsid w:val="00283580"/>
    <w:rsid w:val="002835BB"/>
    <w:rsid w:val="00284DAF"/>
    <w:rsid w:val="00284E80"/>
    <w:rsid w:val="0028552E"/>
    <w:rsid w:val="0028563B"/>
    <w:rsid w:val="002859C4"/>
    <w:rsid w:val="0028675C"/>
    <w:rsid w:val="00286A1D"/>
    <w:rsid w:val="00286FDE"/>
    <w:rsid w:val="00287013"/>
    <w:rsid w:val="0028718A"/>
    <w:rsid w:val="00287366"/>
    <w:rsid w:val="00287387"/>
    <w:rsid w:val="002874A1"/>
    <w:rsid w:val="00287CE7"/>
    <w:rsid w:val="0029009C"/>
    <w:rsid w:val="002902A0"/>
    <w:rsid w:val="00290431"/>
    <w:rsid w:val="002905E2"/>
    <w:rsid w:val="00290B60"/>
    <w:rsid w:val="00290B85"/>
    <w:rsid w:val="00290CCA"/>
    <w:rsid w:val="00290CEF"/>
    <w:rsid w:val="00290EE0"/>
    <w:rsid w:val="00291312"/>
    <w:rsid w:val="00291AC1"/>
    <w:rsid w:val="00291B77"/>
    <w:rsid w:val="00291E9E"/>
    <w:rsid w:val="00292BAF"/>
    <w:rsid w:val="0029321A"/>
    <w:rsid w:val="0029353A"/>
    <w:rsid w:val="002939B3"/>
    <w:rsid w:val="00293AED"/>
    <w:rsid w:val="00293BEC"/>
    <w:rsid w:val="00294212"/>
    <w:rsid w:val="002942E7"/>
    <w:rsid w:val="00294477"/>
    <w:rsid w:val="00294713"/>
    <w:rsid w:val="00294893"/>
    <w:rsid w:val="00294A8F"/>
    <w:rsid w:val="00294ACD"/>
    <w:rsid w:val="0029523F"/>
    <w:rsid w:val="0029587D"/>
    <w:rsid w:val="00295BEA"/>
    <w:rsid w:val="00297A33"/>
    <w:rsid w:val="00297A3F"/>
    <w:rsid w:val="00297B72"/>
    <w:rsid w:val="00297BB9"/>
    <w:rsid w:val="00297CA2"/>
    <w:rsid w:val="00297D59"/>
    <w:rsid w:val="002A00B3"/>
    <w:rsid w:val="002A02C6"/>
    <w:rsid w:val="002A072A"/>
    <w:rsid w:val="002A0B5F"/>
    <w:rsid w:val="002A104C"/>
    <w:rsid w:val="002A118B"/>
    <w:rsid w:val="002A1624"/>
    <w:rsid w:val="002A1E88"/>
    <w:rsid w:val="002A2813"/>
    <w:rsid w:val="002A2F3D"/>
    <w:rsid w:val="002A2F98"/>
    <w:rsid w:val="002A356C"/>
    <w:rsid w:val="002A381F"/>
    <w:rsid w:val="002A39BD"/>
    <w:rsid w:val="002A3B5D"/>
    <w:rsid w:val="002A4B56"/>
    <w:rsid w:val="002A4D24"/>
    <w:rsid w:val="002A4D28"/>
    <w:rsid w:val="002A59E1"/>
    <w:rsid w:val="002A5A79"/>
    <w:rsid w:val="002A5D44"/>
    <w:rsid w:val="002A5EB6"/>
    <w:rsid w:val="002A63E0"/>
    <w:rsid w:val="002A68B0"/>
    <w:rsid w:val="002A6A83"/>
    <w:rsid w:val="002A746E"/>
    <w:rsid w:val="002A766F"/>
    <w:rsid w:val="002A7BAC"/>
    <w:rsid w:val="002A7D8E"/>
    <w:rsid w:val="002B0740"/>
    <w:rsid w:val="002B0758"/>
    <w:rsid w:val="002B0988"/>
    <w:rsid w:val="002B0AB4"/>
    <w:rsid w:val="002B0EE1"/>
    <w:rsid w:val="002B13F9"/>
    <w:rsid w:val="002B19A8"/>
    <w:rsid w:val="002B1CCF"/>
    <w:rsid w:val="002B1D37"/>
    <w:rsid w:val="002B1DB4"/>
    <w:rsid w:val="002B2225"/>
    <w:rsid w:val="002B27C7"/>
    <w:rsid w:val="002B2AE2"/>
    <w:rsid w:val="002B3EA7"/>
    <w:rsid w:val="002B4139"/>
    <w:rsid w:val="002B4A5C"/>
    <w:rsid w:val="002B4D14"/>
    <w:rsid w:val="002B56E6"/>
    <w:rsid w:val="002B5E1D"/>
    <w:rsid w:val="002B68E3"/>
    <w:rsid w:val="002B6D0B"/>
    <w:rsid w:val="002B7A05"/>
    <w:rsid w:val="002C00D1"/>
    <w:rsid w:val="002C01D2"/>
    <w:rsid w:val="002C0222"/>
    <w:rsid w:val="002C06E6"/>
    <w:rsid w:val="002C0C91"/>
    <w:rsid w:val="002C0D63"/>
    <w:rsid w:val="002C1F5F"/>
    <w:rsid w:val="002C20DA"/>
    <w:rsid w:val="002C216C"/>
    <w:rsid w:val="002C2205"/>
    <w:rsid w:val="002C2450"/>
    <w:rsid w:val="002C271E"/>
    <w:rsid w:val="002C2BDC"/>
    <w:rsid w:val="002C36E3"/>
    <w:rsid w:val="002C38D4"/>
    <w:rsid w:val="002C42CD"/>
    <w:rsid w:val="002C4AF0"/>
    <w:rsid w:val="002C4B67"/>
    <w:rsid w:val="002C4D56"/>
    <w:rsid w:val="002C531C"/>
    <w:rsid w:val="002C57CB"/>
    <w:rsid w:val="002C597A"/>
    <w:rsid w:val="002C5CA0"/>
    <w:rsid w:val="002C61A9"/>
    <w:rsid w:val="002C637D"/>
    <w:rsid w:val="002C653D"/>
    <w:rsid w:val="002C6CA8"/>
    <w:rsid w:val="002C7089"/>
    <w:rsid w:val="002C75C1"/>
    <w:rsid w:val="002C760D"/>
    <w:rsid w:val="002C7CBF"/>
    <w:rsid w:val="002D0708"/>
    <w:rsid w:val="002D0831"/>
    <w:rsid w:val="002D18C4"/>
    <w:rsid w:val="002D19E2"/>
    <w:rsid w:val="002D1DF0"/>
    <w:rsid w:val="002D24E3"/>
    <w:rsid w:val="002D2ED8"/>
    <w:rsid w:val="002D2F99"/>
    <w:rsid w:val="002D395D"/>
    <w:rsid w:val="002D3963"/>
    <w:rsid w:val="002D3D68"/>
    <w:rsid w:val="002D4088"/>
    <w:rsid w:val="002D4092"/>
    <w:rsid w:val="002D438F"/>
    <w:rsid w:val="002D47FC"/>
    <w:rsid w:val="002D4DF7"/>
    <w:rsid w:val="002D5200"/>
    <w:rsid w:val="002D62F7"/>
    <w:rsid w:val="002D63FC"/>
    <w:rsid w:val="002D6B01"/>
    <w:rsid w:val="002D6BD7"/>
    <w:rsid w:val="002D72EB"/>
    <w:rsid w:val="002E140F"/>
    <w:rsid w:val="002E1C69"/>
    <w:rsid w:val="002E1D7B"/>
    <w:rsid w:val="002E1ED4"/>
    <w:rsid w:val="002E21B5"/>
    <w:rsid w:val="002E23FE"/>
    <w:rsid w:val="002E2C88"/>
    <w:rsid w:val="002E2EC3"/>
    <w:rsid w:val="002E36EC"/>
    <w:rsid w:val="002E3EAA"/>
    <w:rsid w:val="002E4A19"/>
    <w:rsid w:val="002E5393"/>
    <w:rsid w:val="002E5AEE"/>
    <w:rsid w:val="002E76EC"/>
    <w:rsid w:val="002E7923"/>
    <w:rsid w:val="002E7CBC"/>
    <w:rsid w:val="002E7EE2"/>
    <w:rsid w:val="002E7F81"/>
    <w:rsid w:val="002F0055"/>
    <w:rsid w:val="002F0756"/>
    <w:rsid w:val="002F1214"/>
    <w:rsid w:val="002F1651"/>
    <w:rsid w:val="002F19A7"/>
    <w:rsid w:val="002F1F3E"/>
    <w:rsid w:val="002F2327"/>
    <w:rsid w:val="002F2546"/>
    <w:rsid w:val="002F2841"/>
    <w:rsid w:val="002F2BBE"/>
    <w:rsid w:val="002F2DC3"/>
    <w:rsid w:val="002F2DE9"/>
    <w:rsid w:val="002F3DE9"/>
    <w:rsid w:val="002F3E72"/>
    <w:rsid w:val="002F4551"/>
    <w:rsid w:val="002F4555"/>
    <w:rsid w:val="002F4926"/>
    <w:rsid w:val="002F4936"/>
    <w:rsid w:val="002F4C4B"/>
    <w:rsid w:val="002F6134"/>
    <w:rsid w:val="002F69F2"/>
    <w:rsid w:val="002F7328"/>
    <w:rsid w:val="002F7A8A"/>
    <w:rsid w:val="002F7C70"/>
    <w:rsid w:val="002F7EA4"/>
    <w:rsid w:val="003005DE"/>
    <w:rsid w:val="003007BA"/>
    <w:rsid w:val="00300A49"/>
    <w:rsid w:val="00300BA8"/>
    <w:rsid w:val="00301916"/>
    <w:rsid w:val="00301E33"/>
    <w:rsid w:val="00301E47"/>
    <w:rsid w:val="00302542"/>
    <w:rsid w:val="00302BF3"/>
    <w:rsid w:val="00302D1C"/>
    <w:rsid w:val="00303596"/>
    <w:rsid w:val="003035D9"/>
    <w:rsid w:val="003042EB"/>
    <w:rsid w:val="003049E2"/>
    <w:rsid w:val="003051A1"/>
    <w:rsid w:val="0030522F"/>
    <w:rsid w:val="00305A29"/>
    <w:rsid w:val="00306059"/>
    <w:rsid w:val="00306067"/>
    <w:rsid w:val="003061A0"/>
    <w:rsid w:val="0030622E"/>
    <w:rsid w:val="00306956"/>
    <w:rsid w:val="00307625"/>
    <w:rsid w:val="0031041C"/>
    <w:rsid w:val="0031070A"/>
    <w:rsid w:val="00310E78"/>
    <w:rsid w:val="0031101E"/>
    <w:rsid w:val="00311077"/>
    <w:rsid w:val="00311130"/>
    <w:rsid w:val="0031123E"/>
    <w:rsid w:val="00311F2B"/>
    <w:rsid w:val="00312666"/>
    <w:rsid w:val="003130CD"/>
    <w:rsid w:val="003130FA"/>
    <w:rsid w:val="0031357E"/>
    <w:rsid w:val="00314452"/>
    <w:rsid w:val="0031468C"/>
    <w:rsid w:val="00314F24"/>
    <w:rsid w:val="00315A35"/>
    <w:rsid w:val="00315E26"/>
    <w:rsid w:val="0031647C"/>
    <w:rsid w:val="0031650D"/>
    <w:rsid w:val="003166C1"/>
    <w:rsid w:val="00316C17"/>
    <w:rsid w:val="003178F2"/>
    <w:rsid w:val="00320511"/>
    <w:rsid w:val="0032095D"/>
    <w:rsid w:val="00320A07"/>
    <w:rsid w:val="00320D65"/>
    <w:rsid w:val="00320FF2"/>
    <w:rsid w:val="0032169C"/>
    <w:rsid w:val="00321A2D"/>
    <w:rsid w:val="003221BE"/>
    <w:rsid w:val="0032245C"/>
    <w:rsid w:val="00322635"/>
    <w:rsid w:val="00322D5D"/>
    <w:rsid w:val="00323000"/>
    <w:rsid w:val="003230B4"/>
    <w:rsid w:val="00323441"/>
    <w:rsid w:val="0032352B"/>
    <w:rsid w:val="0032363A"/>
    <w:rsid w:val="003236B6"/>
    <w:rsid w:val="00323885"/>
    <w:rsid w:val="00323E30"/>
    <w:rsid w:val="00323F13"/>
    <w:rsid w:val="00323F78"/>
    <w:rsid w:val="003246BD"/>
    <w:rsid w:val="003247DB"/>
    <w:rsid w:val="00324F0A"/>
    <w:rsid w:val="003256E3"/>
    <w:rsid w:val="0032643B"/>
    <w:rsid w:val="0032685C"/>
    <w:rsid w:val="00326EB9"/>
    <w:rsid w:val="00327300"/>
    <w:rsid w:val="00327BE7"/>
    <w:rsid w:val="00327C8B"/>
    <w:rsid w:val="003300B7"/>
    <w:rsid w:val="00330169"/>
    <w:rsid w:val="003302A8"/>
    <w:rsid w:val="00330F93"/>
    <w:rsid w:val="00330F9D"/>
    <w:rsid w:val="00331612"/>
    <w:rsid w:val="0033164E"/>
    <w:rsid w:val="00331A4A"/>
    <w:rsid w:val="00331D41"/>
    <w:rsid w:val="0033368D"/>
    <w:rsid w:val="00333A00"/>
    <w:rsid w:val="00333E10"/>
    <w:rsid w:val="00334B39"/>
    <w:rsid w:val="00335040"/>
    <w:rsid w:val="00335E8C"/>
    <w:rsid w:val="0033641D"/>
    <w:rsid w:val="00336678"/>
    <w:rsid w:val="00336BDB"/>
    <w:rsid w:val="003401EB"/>
    <w:rsid w:val="0034020E"/>
    <w:rsid w:val="00340296"/>
    <w:rsid w:val="00340EDD"/>
    <w:rsid w:val="00341112"/>
    <w:rsid w:val="00341D6C"/>
    <w:rsid w:val="00341ED8"/>
    <w:rsid w:val="003423D8"/>
    <w:rsid w:val="00342E37"/>
    <w:rsid w:val="0034306C"/>
    <w:rsid w:val="0034315F"/>
    <w:rsid w:val="00343361"/>
    <w:rsid w:val="0034367E"/>
    <w:rsid w:val="00343AA0"/>
    <w:rsid w:val="00343AA4"/>
    <w:rsid w:val="003447FD"/>
    <w:rsid w:val="00344A12"/>
    <w:rsid w:val="00344C3D"/>
    <w:rsid w:val="00344CF5"/>
    <w:rsid w:val="00344DA7"/>
    <w:rsid w:val="00344E3E"/>
    <w:rsid w:val="00344F4E"/>
    <w:rsid w:val="0034543F"/>
    <w:rsid w:val="003454D5"/>
    <w:rsid w:val="00345A59"/>
    <w:rsid w:val="003468A2"/>
    <w:rsid w:val="00346F83"/>
    <w:rsid w:val="00347086"/>
    <w:rsid w:val="0034725A"/>
    <w:rsid w:val="00347B76"/>
    <w:rsid w:val="00347DC8"/>
    <w:rsid w:val="00347E83"/>
    <w:rsid w:val="00350416"/>
    <w:rsid w:val="00350CA5"/>
    <w:rsid w:val="00351AE6"/>
    <w:rsid w:val="00351C60"/>
    <w:rsid w:val="00351DE9"/>
    <w:rsid w:val="00352074"/>
    <w:rsid w:val="003524DA"/>
    <w:rsid w:val="00352E17"/>
    <w:rsid w:val="00352EAA"/>
    <w:rsid w:val="00353169"/>
    <w:rsid w:val="003534F9"/>
    <w:rsid w:val="00353546"/>
    <w:rsid w:val="00353815"/>
    <w:rsid w:val="00353E18"/>
    <w:rsid w:val="00354D4C"/>
    <w:rsid w:val="00354D9D"/>
    <w:rsid w:val="003554A4"/>
    <w:rsid w:val="00355553"/>
    <w:rsid w:val="00356203"/>
    <w:rsid w:val="0035625A"/>
    <w:rsid w:val="003562F8"/>
    <w:rsid w:val="003563A3"/>
    <w:rsid w:val="003564A8"/>
    <w:rsid w:val="0035656D"/>
    <w:rsid w:val="00356BA4"/>
    <w:rsid w:val="003572FA"/>
    <w:rsid w:val="00360271"/>
    <w:rsid w:val="00360E34"/>
    <w:rsid w:val="00361097"/>
    <w:rsid w:val="0036120C"/>
    <w:rsid w:val="00361790"/>
    <w:rsid w:val="0036181E"/>
    <w:rsid w:val="00361B58"/>
    <w:rsid w:val="0036225A"/>
    <w:rsid w:val="003626B4"/>
    <w:rsid w:val="00362D14"/>
    <w:rsid w:val="003634C6"/>
    <w:rsid w:val="003636E6"/>
    <w:rsid w:val="003643F9"/>
    <w:rsid w:val="00364552"/>
    <w:rsid w:val="00364B4A"/>
    <w:rsid w:val="00364E6E"/>
    <w:rsid w:val="00364FDD"/>
    <w:rsid w:val="00365134"/>
    <w:rsid w:val="00365790"/>
    <w:rsid w:val="00365AF2"/>
    <w:rsid w:val="00365D68"/>
    <w:rsid w:val="00365E09"/>
    <w:rsid w:val="00366503"/>
    <w:rsid w:val="00366687"/>
    <w:rsid w:val="003667E5"/>
    <w:rsid w:val="003671B5"/>
    <w:rsid w:val="003676BC"/>
    <w:rsid w:val="00367B46"/>
    <w:rsid w:val="00367C8D"/>
    <w:rsid w:val="00367CA2"/>
    <w:rsid w:val="00367D0C"/>
    <w:rsid w:val="00367D7D"/>
    <w:rsid w:val="00370B7D"/>
    <w:rsid w:val="00370C8E"/>
    <w:rsid w:val="003713E7"/>
    <w:rsid w:val="00372108"/>
    <w:rsid w:val="003725C2"/>
    <w:rsid w:val="00372D23"/>
    <w:rsid w:val="00373447"/>
    <w:rsid w:val="00373870"/>
    <w:rsid w:val="00373C08"/>
    <w:rsid w:val="00373C8E"/>
    <w:rsid w:val="00373E81"/>
    <w:rsid w:val="00374387"/>
    <w:rsid w:val="003748B0"/>
    <w:rsid w:val="003750C6"/>
    <w:rsid w:val="00375114"/>
    <w:rsid w:val="00375434"/>
    <w:rsid w:val="003754EB"/>
    <w:rsid w:val="0037588D"/>
    <w:rsid w:val="00375C68"/>
    <w:rsid w:val="003760F9"/>
    <w:rsid w:val="00376935"/>
    <w:rsid w:val="0037693C"/>
    <w:rsid w:val="00376A93"/>
    <w:rsid w:val="00376D2A"/>
    <w:rsid w:val="00376E15"/>
    <w:rsid w:val="00376F95"/>
    <w:rsid w:val="00377005"/>
    <w:rsid w:val="003773AE"/>
    <w:rsid w:val="003779AE"/>
    <w:rsid w:val="00380228"/>
    <w:rsid w:val="00380AD1"/>
    <w:rsid w:val="00380EC6"/>
    <w:rsid w:val="00381036"/>
    <w:rsid w:val="0038153A"/>
    <w:rsid w:val="00381669"/>
    <w:rsid w:val="00381B0B"/>
    <w:rsid w:val="00381B49"/>
    <w:rsid w:val="00381BD5"/>
    <w:rsid w:val="003821D8"/>
    <w:rsid w:val="00382D11"/>
    <w:rsid w:val="0038390A"/>
    <w:rsid w:val="00384389"/>
    <w:rsid w:val="003848DE"/>
    <w:rsid w:val="003852C3"/>
    <w:rsid w:val="00385745"/>
    <w:rsid w:val="00385B76"/>
    <w:rsid w:val="00385D4F"/>
    <w:rsid w:val="00385D69"/>
    <w:rsid w:val="00385DE1"/>
    <w:rsid w:val="00386212"/>
    <w:rsid w:val="0038672B"/>
    <w:rsid w:val="00387209"/>
    <w:rsid w:val="00387788"/>
    <w:rsid w:val="003879D3"/>
    <w:rsid w:val="00387B0E"/>
    <w:rsid w:val="0039035C"/>
    <w:rsid w:val="003903E5"/>
    <w:rsid w:val="00390590"/>
    <w:rsid w:val="003906A2"/>
    <w:rsid w:val="00390F9F"/>
    <w:rsid w:val="00391799"/>
    <w:rsid w:val="00391D4B"/>
    <w:rsid w:val="003926A3"/>
    <w:rsid w:val="003929EE"/>
    <w:rsid w:val="00393BC2"/>
    <w:rsid w:val="00394A93"/>
    <w:rsid w:val="00394AB8"/>
    <w:rsid w:val="00394C97"/>
    <w:rsid w:val="00394CCD"/>
    <w:rsid w:val="003952CC"/>
    <w:rsid w:val="003953BF"/>
    <w:rsid w:val="0039573B"/>
    <w:rsid w:val="003958FE"/>
    <w:rsid w:val="00395F1A"/>
    <w:rsid w:val="003960DE"/>
    <w:rsid w:val="003972C2"/>
    <w:rsid w:val="0039734D"/>
    <w:rsid w:val="00397669"/>
    <w:rsid w:val="0039767E"/>
    <w:rsid w:val="003978DF"/>
    <w:rsid w:val="003979E1"/>
    <w:rsid w:val="00397D1F"/>
    <w:rsid w:val="003A1079"/>
    <w:rsid w:val="003A1112"/>
    <w:rsid w:val="003A1AC6"/>
    <w:rsid w:val="003A2669"/>
    <w:rsid w:val="003A2CE3"/>
    <w:rsid w:val="003A2DD8"/>
    <w:rsid w:val="003A2DE8"/>
    <w:rsid w:val="003A2E39"/>
    <w:rsid w:val="003A323F"/>
    <w:rsid w:val="003A343B"/>
    <w:rsid w:val="003A3A8D"/>
    <w:rsid w:val="003A3D36"/>
    <w:rsid w:val="003A3EC8"/>
    <w:rsid w:val="003A4531"/>
    <w:rsid w:val="003A4AE9"/>
    <w:rsid w:val="003A4B9C"/>
    <w:rsid w:val="003A4D55"/>
    <w:rsid w:val="003A526D"/>
    <w:rsid w:val="003A583A"/>
    <w:rsid w:val="003A585C"/>
    <w:rsid w:val="003A5CA5"/>
    <w:rsid w:val="003A5D55"/>
    <w:rsid w:val="003A5F43"/>
    <w:rsid w:val="003A61E8"/>
    <w:rsid w:val="003A63F1"/>
    <w:rsid w:val="003A662E"/>
    <w:rsid w:val="003A6BD5"/>
    <w:rsid w:val="003A6D23"/>
    <w:rsid w:val="003A71E0"/>
    <w:rsid w:val="003A777C"/>
    <w:rsid w:val="003A7A7D"/>
    <w:rsid w:val="003A7BAA"/>
    <w:rsid w:val="003A7CE0"/>
    <w:rsid w:val="003A7DD5"/>
    <w:rsid w:val="003B0309"/>
    <w:rsid w:val="003B040A"/>
    <w:rsid w:val="003B05D2"/>
    <w:rsid w:val="003B0DE3"/>
    <w:rsid w:val="003B1085"/>
    <w:rsid w:val="003B1169"/>
    <w:rsid w:val="003B196F"/>
    <w:rsid w:val="003B1AA3"/>
    <w:rsid w:val="003B1BDF"/>
    <w:rsid w:val="003B1D0E"/>
    <w:rsid w:val="003B20AB"/>
    <w:rsid w:val="003B269E"/>
    <w:rsid w:val="003B2A43"/>
    <w:rsid w:val="003B30D9"/>
    <w:rsid w:val="003B327D"/>
    <w:rsid w:val="003B42A5"/>
    <w:rsid w:val="003B44D2"/>
    <w:rsid w:val="003B4BCB"/>
    <w:rsid w:val="003B4DC8"/>
    <w:rsid w:val="003B5171"/>
    <w:rsid w:val="003B551C"/>
    <w:rsid w:val="003B57B0"/>
    <w:rsid w:val="003B57EF"/>
    <w:rsid w:val="003B5D30"/>
    <w:rsid w:val="003B5F75"/>
    <w:rsid w:val="003B61B9"/>
    <w:rsid w:val="003B6225"/>
    <w:rsid w:val="003B6F60"/>
    <w:rsid w:val="003B6F74"/>
    <w:rsid w:val="003B73F4"/>
    <w:rsid w:val="003B7DCD"/>
    <w:rsid w:val="003C078F"/>
    <w:rsid w:val="003C0D46"/>
    <w:rsid w:val="003C107F"/>
    <w:rsid w:val="003C1199"/>
    <w:rsid w:val="003C127A"/>
    <w:rsid w:val="003C16FF"/>
    <w:rsid w:val="003C1B5E"/>
    <w:rsid w:val="003C1CA7"/>
    <w:rsid w:val="003C24C6"/>
    <w:rsid w:val="003C277F"/>
    <w:rsid w:val="003C28A9"/>
    <w:rsid w:val="003C2A0D"/>
    <w:rsid w:val="003C311F"/>
    <w:rsid w:val="003C38D3"/>
    <w:rsid w:val="003C3F7C"/>
    <w:rsid w:val="003C41A0"/>
    <w:rsid w:val="003C475D"/>
    <w:rsid w:val="003C49BF"/>
    <w:rsid w:val="003C4C04"/>
    <w:rsid w:val="003C4F09"/>
    <w:rsid w:val="003C50EC"/>
    <w:rsid w:val="003C5289"/>
    <w:rsid w:val="003C54BF"/>
    <w:rsid w:val="003C5CF8"/>
    <w:rsid w:val="003C5D98"/>
    <w:rsid w:val="003C5EA3"/>
    <w:rsid w:val="003C5EE2"/>
    <w:rsid w:val="003C6A2B"/>
    <w:rsid w:val="003C6C03"/>
    <w:rsid w:val="003C6D6C"/>
    <w:rsid w:val="003C723A"/>
    <w:rsid w:val="003C7712"/>
    <w:rsid w:val="003C7F76"/>
    <w:rsid w:val="003D024C"/>
    <w:rsid w:val="003D0A1B"/>
    <w:rsid w:val="003D139E"/>
    <w:rsid w:val="003D1562"/>
    <w:rsid w:val="003D16DC"/>
    <w:rsid w:val="003D197E"/>
    <w:rsid w:val="003D1C98"/>
    <w:rsid w:val="003D2456"/>
    <w:rsid w:val="003D27C1"/>
    <w:rsid w:val="003D2CCF"/>
    <w:rsid w:val="003D2ED5"/>
    <w:rsid w:val="003D300F"/>
    <w:rsid w:val="003D3624"/>
    <w:rsid w:val="003D3AA2"/>
    <w:rsid w:val="003D4352"/>
    <w:rsid w:val="003D4384"/>
    <w:rsid w:val="003D45F6"/>
    <w:rsid w:val="003D4D68"/>
    <w:rsid w:val="003D4E35"/>
    <w:rsid w:val="003D5186"/>
    <w:rsid w:val="003D52C7"/>
    <w:rsid w:val="003D54E2"/>
    <w:rsid w:val="003D550B"/>
    <w:rsid w:val="003D5C89"/>
    <w:rsid w:val="003D5DE5"/>
    <w:rsid w:val="003D61C4"/>
    <w:rsid w:val="003D63F9"/>
    <w:rsid w:val="003D656F"/>
    <w:rsid w:val="003D6749"/>
    <w:rsid w:val="003D6A03"/>
    <w:rsid w:val="003D73D1"/>
    <w:rsid w:val="003D77D6"/>
    <w:rsid w:val="003E06A6"/>
    <w:rsid w:val="003E07D3"/>
    <w:rsid w:val="003E0B1E"/>
    <w:rsid w:val="003E0F40"/>
    <w:rsid w:val="003E14BB"/>
    <w:rsid w:val="003E180A"/>
    <w:rsid w:val="003E19F2"/>
    <w:rsid w:val="003E1E7F"/>
    <w:rsid w:val="003E1F7F"/>
    <w:rsid w:val="003E1FED"/>
    <w:rsid w:val="003E298D"/>
    <w:rsid w:val="003E2AD4"/>
    <w:rsid w:val="003E38E0"/>
    <w:rsid w:val="003E3A78"/>
    <w:rsid w:val="003E3C49"/>
    <w:rsid w:val="003E41A1"/>
    <w:rsid w:val="003E41B9"/>
    <w:rsid w:val="003E4607"/>
    <w:rsid w:val="003E4F7F"/>
    <w:rsid w:val="003E4FE2"/>
    <w:rsid w:val="003E540B"/>
    <w:rsid w:val="003E553C"/>
    <w:rsid w:val="003E557B"/>
    <w:rsid w:val="003E5A15"/>
    <w:rsid w:val="003E5A94"/>
    <w:rsid w:val="003E5CFE"/>
    <w:rsid w:val="003E6165"/>
    <w:rsid w:val="003E76FB"/>
    <w:rsid w:val="003F0265"/>
    <w:rsid w:val="003F031B"/>
    <w:rsid w:val="003F0BE2"/>
    <w:rsid w:val="003F0FDB"/>
    <w:rsid w:val="003F11BE"/>
    <w:rsid w:val="003F12E0"/>
    <w:rsid w:val="003F1696"/>
    <w:rsid w:val="003F1730"/>
    <w:rsid w:val="003F1788"/>
    <w:rsid w:val="003F1DD0"/>
    <w:rsid w:val="003F1EF3"/>
    <w:rsid w:val="003F2151"/>
    <w:rsid w:val="003F227B"/>
    <w:rsid w:val="003F2720"/>
    <w:rsid w:val="003F2B3C"/>
    <w:rsid w:val="003F2CFD"/>
    <w:rsid w:val="003F3289"/>
    <w:rsid w:val="003F3328"/>
    <w:rsid w:val="003F371D"/>
    <w:rsid w:val="003F38BA"/>
    <w:rsid w:val="003F3B5F"/>
    <w:rsid w:val="003F4633"/>
    <w:rsid w:val="003F50E1"/>
    <w:rsid w:val="003F56F1"/>
    <w:rsid w:val="003F5E7A"/>
    <w:rsid w:val="003F5ECC"/>
    <w:rsid w:val="003F6007"/>
    <w:rsid w:val="003F70A5"/>
    <w:rsid w:val="003F75D8"/>
    <w:rsid w:val="003F7930"/>
    <w:rsid w:val="003F7AF5"/>
    <w:rsid w:val="004002A9"/>
    <w:rsid w:val="0040198F"/>
    <w:rsid w:val="00402E25"/>
    <w:rsid w:val="0040395A"/>
    <w:rsid w:val="00403A95"/>
    <w:rsid w:val="00403D40"/>
    <w:rsid w:val="004049BF"/>
    <w:rsid w:val="00405891"/>
    <w:rsid w:val="004059A9"/>
    <w:rsid w:val="00405CC5"/>
    <w:rsid w:val="00405D70"/>
    <w:rsid w:val="00406ACF"/>
    <w:rsid w:val="00406C66"/>
    <w:rsid w:val="00407A87"/>
    <w:rsid w:val="004101C2"/>
    <w:rsid w:val="00410323"/>
    <w:rsid w:val="0041034E"/>
    <w:rsid w:val="0041049F"/>
    <w:rsid w:val="00410943"/>
    <w:rsid w:val="00410B91"/>
    <w:rsid w:val="00411447"/>
    <w:rsid w:val="00411986"/>
    <w:rsid w:val="00411C36"/>
    <w:rsid w:val="00411D87"/>
    <w:rsid w:val="00412E06"/>
    <w:rsid w:val="0041372F"/>
    <w:rsid w:val="00413771"/>
    <w:rsid w:val="00413B05"/>
    <w:rsid w:val="00413C5B"/>
    <w:rsid w:val="00413E1E"/>
    <w:rsid w:val="004142ED"/>
    <w:rsid w:val="004144DC"/>
    <w:rsid w:val="00414BE0"/>
    <w:rsid w:val="004154CA"/>
    <w:rsid w:val="00415F4E"/>
    <w:rsid w:val="004160F5"/>
    <w:rsid w:val="004166BA"/>
    <w:rsid w:val="0041713B"/>
    <w:rsid w:val="0041725F"/>
    <w:rsid w:val="004172B9"/>
    <w:rsid w:val="00420141"/>
    <w:rsid w:val="00420C3D"/>
    <w:rsid w:val="00420F07"/>
    <w:rsid w:val="004217D6"/>
    <w:rsid w:val="00421ADF"/>
    <w:rsid w:val="00421BB2"/>
    <w:rsid w:val="00421BB4"/>
    <w:rsid w:val="0042243E"/>
    <w:rsid w:val="00422647"/>
    <w:rsid w:val="00422C3B"/>
    <w:rsid w:val="00422CBF"/>
    <w:rsid w:val="00422E70"/>
    <w:rsid w:val="00422F32"/>
    <w:rsid w:val="00423144"/>
    <w:rsid w:val="00424173"/>
    <w:rsid w:val="0042419E"/>
    <w:rsid w:val="00424348"/>
    <w:rsid w:val="00424412"/>
    <w:rsid w:val="00424720"/>
    <w:rsid w:val="0042484B"/>
    <w:rsid w:val="004249EE"/>
    <w:rsid w:val="004253F6"/>
    <w:rsid w:val="00425416"/>
    <w:rsid w:val="004256F2"/>
    <w:rsid w:val="00426333"/>
    <w:rsid w:val="004263CB"/>
    <w:rsid w:val="00426C68"/>
    <w:rsid w:val="0042738B"/>
    <w:rsid w:val="00430468"/>
    <w:rsid w:val="004306C0"/>
    <w:rsid w:val="00430B07"/>
    <w:rsid w:val="00430B9A"/>
    <w:rsid w:val="0043150F"/>
    <w:rsid w:val="004318D2"/>
    <w:rsid w:val="004319AE"/>
    <w:rsid w:val="00431CCE"/>
    <w:rsid w:val="00431D6D"/>
    <w:rsid w:val="00431DA2"/>
    <w:rsid w:val="00432422"/>
    <w:rsid w:val="00432698"/>
    <w:rsid w:val="004326A5"/>
    <w:rsid w:val="0043276B"/>
    <w:rsid w:val="00432B21"/>
    <w:rsid w:val="00432EDD"/>
    <w:rsid w:val="0043301D"/>
    <w:rsid w:val="004338F7"/>
    <w:rsid w:val="00433D87"/>
    <w:rsid w:val="00434015"/>
    <w:rsid w:val="0043436F"/>
    <w:rsid w:val="00434BB7"/>
    <w:rsid w:val="00434C25"/>
    <w:rsid w:val="0043579C"/>
    <w:rsid w:val="00435A7E"/>
    <w:rsid w:val="00436894"/>
    <w:rsid w:val="00436AB9"/>
    <w:rsid w:val="00436C92"/>
    <w:rsid w:val="00436D41"/>
    <w:rsid w:val="00436E1B"/>
    <w:rsid w:val="00437451"/>
    <w:rsid w:val="004374B7"/>
    <w:rsid w:val="00437ED3"/>
    <w:rsid w:val="004401B1"/>
    <w:rsid w:val="004403E9"/>
    <w:rsid w:val="00441021"/>
    <w:rsid w:val="004414C4"/>
    <w:rsid w:val="0044164F"/>
    <w:rsid w:val="00441D04"/>
    <w:rsid w:val="00441EC8"/>
    <w:rsid w:val="00442669"/>
    <w:rsid w:val="00442915"/>
    <w:rsid w:val="00443378"/>
    <w:rsid w:val="00443900"/>
    <w:rsid w:val="00443A94"/>
    <w:rsid w:val="00443F5B"/>
    <w:rsid w:val="004443BE"/>
    <w:rsid w:val="004446B8"/>
    <w:rsid w:val="00444845"/>
    <w:rsid w:val="00444DA2"/>
    <w:rsid w:val="00445607"/>
    <w:rsid w:val="00445696"/>
    <w:rsid w:val="00445B26"/>
    <w:rsid w:val="00446717"/>
    <w:rsid w:val="004468F4"/>
    <w:rsid w:val="00446BC6"/>
    <w:rsid w:val="00446D45"/>
    <w:rsid w:val="0044723A"/>
    <w:rsid w:val="00447339"/>
    <w:rsid w:val="004477B8"/>
    <w:rsid w:val="00450077"/>
    <w:rsid w:val="00450296"/>
    <w:rsid w:val="0045098A"/>
    <w:rsid w:val="00450AD5"/>
    <w:rsid w:val="00451317"/>
    <w:rsid w:val="004513D6"/>
    <w:rsid w:val="00451547"/>
    <w:rsid w:val="004515DF"/>
    <w:rsid w:val="00451EC1"/>
    <w:rsid w:val="00452D4E"/>
    <w:rsid w:val="004536A7"/>
    <w:rsid w:val="0045382D"/>
    <w:rsid w:val="00453DEF"/>
    <w:rsid w:val="00453E15"/>
    <w:rsid w:val="00454CE8"/>
    <w:rsid w:val="00454E0C"/>
    <w:rsid w:val="00455462"/>
    <w:rsid w:val="0045558A"/>
    <w:rsid w:val="004556E3"/>
    <w:rsid w:val="00455BBA"/>
    <w:rsid w:val="00456F25"/>
    <w:rsid w:val="00457045"/>
    <w:rsid w:val="00457166"/>
    <w:rsid w:val="0045723D"/>
    <w:rsid w:val="0045762B"/>
    <w:rsid w:val="00457D58"/>
    <w:rsid w:val="0046001C"/>
    <w:rsid w:val="00460154"/>
    <w:rsid w:val="0046023B"/>
    <w:rsid w:val="004608BD"/>
    <w:rsid w:val="004608FE"/>
    <w:rsid w:val="00460965"/>
    <w:rsid w:val="00460A73"/>
    <w:rsid w:val="00460CD6"/>
    <w:rsid w:val="00460E6A"/>
    <w:rsid w:val="0046125C"/>
    <w:rsid w:val="004616B3"/>
    <w:rsid w:val="00461C5B"/>
    <w:rsid w:val="00462ADF"/>
    <w:rsid w:val="00462E74"/>
    <w:rsid w:val="0046325B"/>
    <w:rsid w:val="00463663"/>
    <w:rsid w:val="00463C33"/>
    <w:rsid w:val="00463CCA"/>
    <w:rsid w:val="00463CDD"/>
    <w:rsid w:val="00463DED"/>
    <w:rsid w:val="0046421F"/>
    <w:rsid w:val="00464636"/>
    <w:rsid w:val="00464E75"/>
    <w:rsid w:val="004654C3"/>
    <w:rsid w:val="00465654"/>
    <w:rsid w:val="0046593C"/>
    <w:rsid w:val="00465E6C"/>
    <w:rsid w:val="004661AF"/>
    <w:rsid w:val="0046673E"/>
    <w:rsid w:val="00466911"/>
    <w:rsid w:val="00466D0A"/>
    <w:rsid w:val="00466D20"/>
    <w:rsid w:val="00466EA1"/>
    <w:rsid w:val="00466F45"/>
    <w:rsid w:val="00467287"/>
    <w:rsid w:val="0046738C"/>
    <w:rsid w:val="00467557"/>
    <w:rsid w:val="00467AA6"/>
    <w:rsid w:val="00470E51"/>
    <w:rsid w:val="004713FD"/>
    <w:rsid w:val="004716EC"/>
    <w:rsid w:val="00471B5F"/>
    <w:rsid w:val="00471BA6"/>
    <w:rsid w:val="00471F53"/>
    <w:rsid w:val="00471F70"/>
    <w:rsid w:val="00472351"/>
    <w:rsid w:val="00472BAD"/>
    <w:rsid w:val="004736C9"/>
    <w:rsid w:val="00473BD1"/>
    <w:rsid w:val="00473D6B"/>
    <w:rsid w:val="00473F2C"/>
    <w:rsid w:val="004740B3"/>
    <w:rsid w:val="004743BC"/>
    <w:rsid w:val="00474773"/>
    <w:rsid w:val="00474970"/>
    <w:rsid w:val="00474EB9"/>
    <w:rsid w:val="00474EBE"/>
    <w:rsid w:val="0047510A"/>
    <w:rsid w:val="0047517A"/>
    <w:rsid w:val="004751BC"/>
    <w:rsid w:val="00475276"/>
    <w:rsid w:val="00475A94"/>
    <w:rsid w:val="00475C6C"/>
    <w:rsid w:val="00475F03"/>
    <w:rsid w:val="00476365"/>
    <w:rsid w:val="00476AB5"/>
    <w:rsid w:val="00476FA3"/>
    <w:rsid w:val="004775EC"/>
    <w:rsid w:val="00477A3F"/>
    <w:rsid w:val="00477AFF"/>
    <w:rsid w:val="0048004C"/>
    <w:rsid w:val="0048006C"/>
    <w:rsid w:val="0048026F"/>
    <w:rsid w:val="00480BC2"/>
    <w:rsid w:val="00481C4E"/>
    <w:rsid w:val="004823F5"/>
    <w:rsid w:val="004829F2"/>
    <w:rsid w:val="00482E62"/>
    <w:rsid w:val="00482FBE"/>
    <w:rsid w:val="00483984"/>
    <w:rsid w:val="004843FF"/>
    <w:rsid w:val="00484A0C"/>
    <w:rsid w:val="00484FEC"/>
    <w:rsid w:val="0048529C"/>
    <w:rsid w:val="004852B3"/>
    <w:rsid w:val="0048560D"/>
    <w:rsid w:val="00485A41"/>
    <w:rsid w:val="00485BCC"/>
    <w:rsid w:val="00485F2D"/>
    <w:rsid w:val="004865CF"/>
    <w:rsid w:val="0048669F"/>
    <w:rsid w:val="00486A2D"/>
    <w:rsid w:val="00486B32"/>
    <w:rsid w:val="0048714A"/>
    <w:rsid w:val="00490272"/>
    <w:rsid w:val="0049055C"/>
    <w:rsid w:val="00490677"/>
    <w:rsid w:val="00490759"/>
    <w:rsid w:val="004908BF"/>
    <w:rsid w:val="00490B30"/>
    <w:rsid w:val="00490C15"/>
    <w:rsid w:val="00490CDD"/>
    <w:rsid w:val="00491830"/>
    <w:rsid w:val="00491962"/>
    <w:rsid w:val="00491BF6"/>
    <w:rsid w:val="004922A5"/>
    <w:rsid w:val="00492B93"/>
    <w:rsid w:val="00492F1F"/>
    <w:rsid w:val="004937AE"/>
    <w:rsid w:val="004939AF"/>
    <w:rsid w:val="00494814"/>
    <w:rsid w:val="00494853"/>
    <w:rsid w:val="00495D98"/>
    <w:rsid w:val="00495EA3"/>
    <w:rsid w:val="00495FF1"/>
    <w:rsid w:val="0049637F"/>
    <w:rsid w:val="004963E0"/>
    <w:rsid w:val="00496B01"/>
    <w:rsid w:val="004974E7"/>
    <w:rsid w:val="004976B9"/>
    <w:rsid w:val="00497772"/>
    <w:rsid w:val="0049797B"/>
    <w:rsid w:val="00497B4E"/>
    <w:rsid w:val="004A0101"/>
    <w:rsid w:val="004A031C"/>
    <w:rsid w:val="004A0797"/>
    <w:rsid w:val="004A0AB8"/>
    <w:rsid w:val="004A0C30"/>
    <w:rsid w:val="004A0D79"/>
    <w:rsid w:val="004A1175"/>
    <w:rsid w:val="004A173A"/>
    <w:rsid w:val="004A1ABE"/>
    <w:rsid w:val="004A1B50"/>
    <w:rsid w:val="004A1C79"/>
    <w:rsid w:val="004A310D"/>
    <w:rsid w:val="004A3599"/>
    <w:rsid w:val="004A3634"/>
    <w:rsid w:val="004A3D97"/>
    <w:rsid w:val="004A3F49"/>
    <w:rsid w:val="004A43D4"/>
    <w:rsid w:val="004A47D1"/>
    <w:rsid w:val="004A4952"/>
    <w:rsid w:val="004A4D35"/>
    <w:rsid w:val="004A4F0B"/>
    <w:rsid w:val="004A5316"/>
    <w:rsid w:val="004A57F0"/>
    <w:rsid w:val="004A5C51"/>
    <w:rsid w:val="004A5E0D"/>
    <w:rsid w:val="004A634A"/>
    <w:rsid w:val="004A642B"/>
    <w:rsid w:val="004A6B9C"/>
    <w:rsid w:val="004A6D27"/>
    <w:rsid w:val="004A70AA"/>
    <w:rsid w:val="004A7291"/>
    <w:rsid w:val="004A76FB"/>
    <w:rsid w:val="004A7F20"/>
    <w:rsid w:val="004B01E8"/>
    <w:rsid w:val="004B0452"/>
    <w:rsid w:val="004B0593"/>
    <w:rsid w:val="004B068C"/>
    <w:rsid w:val="004B0EB0"/>
    <w:rsid w:val="004B1B69"/>
    <w:rsid w:val="004B1D5F"/>
    <w:rsid w:val="004B29B1"/>
    <w:rsid w:val="004B3C6D"/>
    <w:rsid w:val="004B3DD5"/>
    <w:rsid w:val="004B419C"/>
    <w:rsid w:val="004B50BC"/>
    <w:rsid w:val="004B545B"/>
    <w:rsid w:val="004B5904"/>
    <w:rsid w:val="004B59B3"/>
    <w:rsid w:val="004B5D2C"/>
    <w:rsid w:val="004B6414"/>
    <w:rsid w:val="004B6F75"/>
    <w:rsid w:val="004B729E"/>
    <w:rsid w:val="004B7508"/>
    <w:rsid w:val="004B7808"/>
    <w:rsid w:val="004B7A10"/>
    <w:rsid w:val="004C09F4"/>
    <w:rsid w:val="004C0D9F"/>
    <w:rsid w:val="004C0F7A"/>
    <w:rsid w:val="004C1329"/>
    <w:rsid w:val="004C1398"/>
    <w:rsid w:val="004C187E"/>
    <w:rsid w:val="004C2386"/>
    <w:rsid w:val="004C26F2"/>
    <w:rsid w:val="004C3059"/>
    <w:rsid w:val="004C3F9C"/>
    <w:rsid w:val="004C3F9D"/>
    <w:rsid w:val="004C460F"/>
    <w:rsid w:val="004C4AB2"/>
    <w:rsid w:val="004C5475"/>
    <w:rsid w:val="004C58AF"/>
    <w:rsid w:val="004C61CA"/>
    <w:rsid w:val="004C6AD3"/>
    <w:rsid w:val="004C6CA4"/>
    <w:rsid w:val="004C6DBE"/>
    <w:rsid w:val="004C74C3"/>
    <w:rsid w:val="004C757D"/>
    <w:rsid w:val="004C7A87"/>
    <w:rsid w:val="004D039F"/>
    <w:rsid w:val="004D05FE"/>
    <w:rsid w:val="004D0DDC"/>
    <w:rsid w:val="004D1819"/>
    <w:rsid w:val="004D1CBF"/>
    <w:rsid w:val="004D1E20"/>
    <w:rsid w:val="004D21A6"/>
    <w:rsid w:val="004D24E0"/>
    <w:rsid w:val="004D2723"/>
    <w:rsid w:val="004D3AD6"/>
    <w:rsid w:val="004D3E10"/>
    <w:rsid w:val="004D449E"/>
    <w:rsid w:val="004D47F8"/>
    <w:rsid w:val="004D49FF"/>
    <w:rsid w:val="004D5342"/>
    <w:rsid w:val="004D551F"/>
    <w:rsid w:val="004D697A"/>
    <w:rsid w:val="004D71C3"/>
    <w:rsid w:val="004D7CEA"/>
    <w:rsid w:val="004D7EB7"/>
    <w:rsid w:val="004E0479"/>
    <w:rsid w:val="004E07E7"/>
    <w:rsid w:val="004E080F"/>
    <w:rsid w:val="004E0C47"/>
    <w:rsid w:val="004E0C8B"/>
    <w:rsid w:val="004E272B"/>
    <w:rsid w:val="004E2997"/>
    <w:rsid w:val="004E2AC1"/>
    <w:rsid w:val="004E2C52"/>
    <w:rsid w:val="004E3471"/>
    <w:rsid w:val="004E4066"/>
    <w:rsid w:val="004E4417"/>
    <w:rsid w:val="004E49D1"/>
    <w:rsid w:val="004E4E38"/>
    <w:rsid w:val="004E5648"/>
    <w:rsid w:val="004E5D11"/>
    <w:rsid w:val="004E60F5"/>
    <w:rsid w:val="004E6C09"/>
    <w:rsid w:val="004E6D17"/>
    <w:rsid w:val="004E74F2"/>
    <w:rsid w:val="004E7804"/>
    <w:rsid w:val="004E7B81"/>
    <w:rsid w:val="004E7DD9"/>
    <w:rsid w:val="004F0176"/>
    <w:rsid w:val="004F040B"/>
    <w:rsid w:val="004F0EB0"/>
    <w:rsid w:val="004F0F99"/>
    <w:rsid w:val="004F12D4"/>
    <w:rsid w:val="004F161A"/>
    <w:rsid w:val="004F182F"/>
    <w:rsid w:val="004F1B8E"/>
    <w:rsid w:val="004F1CCA"/>
    <w:rsid w:val="004F2521"/>
    <w:rsid w:val="004F25FD"/>
    <w:rsid w:val="004F2C5F"/>
    <w:rsid w:val="004F316B"/>
    <w:rsid w:val="004F3214"/>
    <w:rsid w:val="004F362D"/>
    <w:rsid w:val="004F3897"/>
    <w:rsid w:val="004F3A6E"/>
    <w:rsid w:val="004F3BDF"/>
    <w:rsid w:val="004F4B73"/>
    <w:rsid w:val="004F4C0A"/>
    <w:rsid w:val="004F4E88"/>
    <w:rsid w:val="004F4F65"/>
    <w:rsid w:val="004F538D"/>
    <w:rsid w:val="004F5AA6"/>
    <w:rsid w:val="004F5B85"/>
    <w:rsid w:val="004F5BF1"/>
    <w:rsid w:val="004F5FB5"/>
    <w:rsid w:val="004F638E"/>
    <w:rsid w:val="004F68A5"/>
    <w:rsid w:val="004F6A1B"/>
    <w:rsid w:val="004F6F74"/>
    <w:rsid w:val="004F726C"/>
    <w:rsid w:val="004F775A"/>
    <w:rsid w:val="004F7CDB"/>
    <w:rsid w:val="00500768"/>
    <w:rsid w:val="005014A6"/>
    <w:rsid w:val="005014FC"/>
    <w:rsid w:val="00501D3C"/>
    <w:rsid w:val="00501DF0"/>
    <w:rsid w:val="00502D26"/>
    <w:rsid w:val="005038A8"/>
    <w:rsid w:val="00503D31"/>
    <w:rsid w:val="00503D73"/>
    <w:rsid w:val="00503FD8"/>
    <w:rsid w:val="005040F4"/>
    <w:rsid w:val="005043AB"/>
    <w:rsid w:val="005047A5"/>
    <w:rsid w:val="00504B3C"/>
    <w:rsid w:val="00504D9E"/>
    <w:rsid w:val="00505650"/>
    <w:rsid w:val="0050577B"/>
    <w:rsid w:val="00505E6A"/>
    <w:rsid w:val="00506179"/>
    <w:rsid w:val="00506524"/>
    <w:rsid w:val="00506E8A"/>
    <w:rsid w:val="0050768B"/>
    <w:rsid w:val="00507C33"/>
    <w:rsid w:val="00507D15"/>
    <w:rsid w:val="005104C5"/>
    <w:rsid w:val="005105EE"/>
    <w:rsid w:val="00510D7A"/>
    <w:rsid w:val="00511FC2"/>
    <w:rsid w:val="005122A2"/>
    <w:rsid w:val="005124AA"/>
    <w:rsid w:val="00512BA2"/>
    <w:rsid w:val="005134CE"/>
    <w:rsid w:val="00513759"/>
    <w:rsid w:val="0051383C"/>
    <w:rsid w:val="00515700"/>
    <w:rsid w:val="00515739"/>
    <w:rsid w:val="005164CC"/>
    <w:rsid w:val="00516862"/>
    <w:rsid w:val="00516A92"/>
    <w:rsid w:val="00516BE4"/>
    <w:rsid w:val="00516D6B"/>
    <w:rsid w:val="005175B4"/>
    <w:rsid w:val="0051775E"/>
    <w:rsid w:val="005178F4"/>
    <w:rsid w:val="00517B85"/>
    <w:rsid w:val="00517DAD"/>
    <w:rsid w:val="00517F16"/>
    <w:rsid w:val="0052001C"/>
    <w:rsid w:val="005200EA"/>
    <w:rsid w:val="005202B3"/>
    <w:rsid w:val="005203D0"/>
    <w:rsid w:val="0052062B"/>
    <w:rsid w:val="00520C44"/>
    <w:rsid w:val="005211B9"/>
    <w:rsid w:val="00521E4F"/>
    <w:rsid w:val="00522488"/>
    <w:rsid w:val="0052284B"/>
    <w:rsid w:val="0052316F"/>
    <w:rsid w:val="00523658"/>
    <w:rsid w:val="00523EC7"/>
    <w:rsid w:val="0052467D"/>
    <w:rsid w:val="0052487B"/>
    <w:rsid w:val="00525117"/>
    <w:rsid w:val="00525187"/>
    <w:rsid w:val="005251CE"/>
    <w:rsid w:val="00525211"/>
    <w:rsid w:val="005258F4"/>
    <w:rsid w:val="00525AB3"/>
    <w:rsid w:val="00525C13"/>
    <w:rsid w:val="00525D0D"/>
    <w:rsid w:val="00526468"/>
    <w:rsid w:val="00526849"/>
    <w:rsid w:val="00526BD8"/>
    <w:rsid w:val="00530148"/>
    <w:rsid w:val="00530937"/>
    <w:rsid w:val="00530AF0"/>
    <w:rsid w:val="00531359"/>
    <w:rsid w:val="00531905"/>
    <w:rsid w:val="00531BF3"/>
    <w:rsid w:val="00532015"/>
    <w:rsid w:val="00532102"/>
    <w:rsid w:val="005321C2"/>
    <w:rsid w:val="005323BE"/>
    <w:rsid w:val="00532BA5"/>
    <w:rsid w:val="00532ED2"/>
    <w:rsid w:val="00533A81"/>
    <w:rsid w:val="00533BF9"/>
    <w:rsid w:val="00533F87"/>
    <w:rsid w:val="00534CD4"/>
    <w:rsid w:val="0053518E"/>
    <w:rsid w:val="005351A6"/>
    <w:rsid w:val="0053520A"/>
    <w:rsid w:val="0053524B"/>
    <w:rsid w:val="0053575F"/>
    <w:rsid w:val="00535D52"/>
    <w:rsid w:val="00536143"/>
    <w:rsid w:val="00536441"/>
    <w:rsid w:val="00536980"/>
    <w:rsid w:val="00536D14"/>
    <w:rsid w:val="00536FD7"/>
    <w:rsid w:val="005371E1"/>
    <w:rsid w:val="005379A7"/>
    <w:rsid w:val="00537EB3"/>
    <w:rsid w:val="005403D3"/>
    <w:rsid w:val="00540736"/>
    <w:rsid w:val="00540768"/>
    <w:rsid w:val="00540E56"/>
    <w:rsid w:val="005411FE"/>
    <w:rsid w:val="005416A2"/>
    <w:rsid w:val="00541B47"/>
    <w:rsid w:val="00542628"/>
    <w:rsid w:val="00542724"/>
    <w:rsid w:val="00542CF3"/>
    <w:rsid w:val="00542F75"/>
    <w:rsid w:val="00543964"/>
    <w:rsid w:val="005439C0"/>
    <w:rsid w:val="00543BCF"/>
    <w:rsid w:val="00543CE0"/>
    <w:rsid w:val="00543D58"/>
    <w:rsid w:val="0054453B"/>
    <w:rsid w:val="00544803"/>
    <w:rsid w:val="005448B1"/>
    <w:rsid w:val="00544962"/>
    <w:rsid w:val="00544D5A"/>
    <w:rsid w:val="005457CD"/>
    <w:rsid w:val="00545956"/>
    <w:rsid w:val="00545A1B"/>
    <w:rsid w:val="00545A9B"/>
    <w:rsid w:val="00545B73"/>
    <w:rsid w:val="00545F27"/>
    <w:rsid w:val="00546F4B"/>
    <w:rsid w:val="00546FEB"/>
    <w:rsid w:val="00547640"/>
    <w:rsid w:val="00551998"/>
    <w:rsid w:val="00551D8C"/>
    <w:rsid w:val="0055274E"/>
    <w:rsid w:val="0055283A"/>
    <w:rsid w:val="00552C72"/>
    <w:rsid w:val="00553492"/>
    <w:rsid w:val="005535DC"/>
    <w:rsid w:val="005542F2"/>
    <w:rsid w:val="00554583"/>
    <w:rsid w:val="00554C6D"/>
    <w:rsid w:val="00555299"/>
    <w:rsid w:val="00555595"/>
    <w:rsid w:val="00555F77"/>
    <w:rsid w:val="00556340"/>
    <w:rsid w:val="00556407"/>
    <w:rsid w:val="00556A7B"/>
    <w:rsid w:val="0055735F"/>
    <w:rsid w:val="005579ED"/>
    <w:rsid w:val="00557FA7"/>
    <w:rsid w:val="00560136"/>
    <w:rsid w:val="0056097E"/>
    <w:rsid w:val="00560D26"/>
    <w:rsid w:val="005612A2"/>
    <w:rsid w:val="005616ED"/>
    <w:rsid w:val="0056175D"/>
    <w:rsid w:val="00561781"/>
    <w:rsid w:val="00561B05"/>
    <w:rsid w:val="00562138"/>
    <w:rsid w:val="0056232B"/>
    <w:rsid w:val="00562D6C"/>
    <w:rsid w:val="00562E79"/>
    <w:rsid w:val="005631AE"/>
    <w:rsid w:val="0056456B"/>
    <w:rsid w:val="0056463E"/>
    <w:rsid w:val="00564E35"/>
    <w:rsid w:val="00565246"/>
    <w:rsid w:val="00565ED1"/>
    <w:rsid w:val="0056627F"/>
    <w:rsid w:val="00566618"/>
    <w:rsid w:val="005667D7"/>
    <w:rsid w:val="005668AF"/>
    <w:rsid w:val="00566AD8"/>
    <w:rsid w:val="00566FF8"/>
    <w:rsid w:val="0056767E"/>
    <w:rsid w:val="00570B23"/>
    <w:rsid w:val="00570CBA"/>
    <w:rsid w:val="00570EE2"/>
    <w:rsid w:val="0057127C"/>
    <w:rsid w:val="0057132C"/>
    <w:rsid w:val="00571EE2"/>
    <w:rsid w:val="00572421"/>
    <w:rsid w:val="00572E4E"/>
    <w:rsid w:val="005730B2"/>
    <w:rsid w:val="0057350E"/>
    <w:rsid w:val="005739F7"/>
    <w:rsid w:val="00573AE2"/>
    <w:rsid w:val="00573B7C"/>
    <w:rsid w:val="00573FA5"/>
    <w:rsid w:val="00574349"/>
    <w:rsid w:val="00574654"/>
    <w:rsid w:val="005747A0"/>
    <w:rsid w:val="005751BA"/>
    <w:rsid w:val="00575966"/>
    <w:rsid w:val="0057680A"/>
    <w:rsid w:val="00576D04"/>
    <w:rsid w:val="00576FD0"/>
    <w:rsid w:val="005773C2"/>
    <w:rsid w:val="005775B8"/>
    <w:rsid w:val="00577AA4"/>
    <w:rsid w:val="00577D1D"/>
    <w:rsid w:val="00577D55"/>
    <w:rsid w:val="00580394"/>
    <w:rsid w:val="00580471"/>
    <w:rsid w:val="00580AC5"/>
    <w:rsid w:val="00580CA4"/>
    <w:rsid w:val="0058125F"/>
    <w:rsid w:val="005821CC"/>
    <w:rsid w:val="00582453"/>
    <w:rsid w:val="005826CD"/>
    <w:rsid w:val="00582715"/>
    <w:rsid w:val="00582C52"/>
    <w:rsid w:val="00582C6A"/>
    <w:rsid w:val="00582F3E"/>
    <w:rsid w:val="00582FDD"/>
    <w:rsid w:val="00583620"/>
    <w:rsid w:val="00583F45"/>
    <w:rsid w:val="00583F99"/>
    <w:rsid w:val="00583FEE"/>
    <w:rsid w:val="005847AA"/>
    <w:rsid w:val="00584B8E"/>
    <w:rsid w:val="00584C47"/>
    <w:rsid w:val="00584E78"/>
    <w:rsid w:val="00584F91"/>
    <w:rsid w:val="005853C8"/>
    <w:rsid w:val="00585AFA"/>
    <w:rsid w:val="00585D53"/>
    <w:rsid w:val="00586611"/>
    <w:rsid w:val="005868D3"/>
    <w:rsid w:val="00586968"/>
    <w:rsid w:val="00586BDC"/>
    <w:rsid w:val="005870A8"/>
    <w:rsid w:val="005874A6"/>
    <w:rsid w:val="00587516"/>
    <w:rsid w:val="00587522"/>
    <w:rsid w:val="00587D30"/>
    <w:rsid w:val="00587D7B"/>
    <w:rsid w:val="0059081A"/>
    <w:rsid w:val="00590F31"/>
    <w:rsid w:val="005913C6"/>
    <w:rsid w:val="00591CA0"/>
    <w:rsid w:val="005920DA"/>
    <w:rsid w:val="0059288C"/>
    <w:rsid w:val="00592D49"/>
    <w:rsid w:val="0059312A"/>
    <w:rsid w:val="005931DB"/>
    <w:rsid w:val="0059366F"/>
    <w:rsid w:val="005938A1"/>
    <w:rsid w:val="0059401B"/>
    <w:rsid w:val="005940F0"/>
    <w:rsid w:val="00594174"/>
    <w:rsid w:val="00594836"/>
    <w:rsid w:val="0059519C"/>
    <w:rsid w:val="00595AC0"/>
    <w:rsid w:val="00596191"/>
    <w:rsid w:val="005969A1"/>
    <w:rsid w:val="00596C56"/>
    <w:rsid w:val="00597692"/>
    <w:rsid w:val="0059783D"/>
    <w:rsid w:val="005A001A"/>
    <w:rsid w:val="005A0222"/>
    <w:rsid w:val="005A0479"/>
    <w:rsid w:val="005A08CF"/>
    <w:rsid w:val="005A0A7B"/>
    <w:rsid w:val="005A0D3D"/>
    <w:rsid w:val="005A1392"/>
    <w:rsid w:val="005A13F8"/>
    <w:rsid w:val="005A157D"/>
    <w:rsid w:val="005A20EF"/>
    <w:rsid w:val="005A2540"/>
    <w:rsid w:val="005A2950"/>
    <w:rsid w:val="005A2BFE"/>
    <w:rsid w:val="005A2F67"/>
    <w:rsid w:val="005A2FC7"/>
    <w:rsid w:val="005A349F"/>
    <w:rsid w:val="005A3A9D"/>
    <w:rsid w:val="005A43BF"/>
    <w:rsid w:val="005A47C0"/>
    <w:rsid w:val="005A4DE2"/>
    <w:rsid w:val="005A4F60"/>
    <w:rsid w:val="005A5309"/>
    <w:rsid w:val="005A5BD4"/>
    <w:rsid w:val="005A63E2"/>
    <w:rsid w:val="005A6762"/>
    <w:rsid w:val="005A6BC1"/>
    <w:rsid w:val="005A6F1C"/>
    <w:rsid w:val="005A7137"/>
    <w:rsid w:val="005A788A"/>
    <w:rsid w:val="005A7B37"/>
    <w:rsid w:val="005A7F7C"/>
    <w:rsid w:val="005B0B3B"/>
    <w:rsid w:val="005B1AAB"/>
    <w:rsid w:val="005B1BAA"/>
    <w:rsid w:val="005B1BD0"/>
    <w:rsid w:val="005B1C5F"/>
    <w:rsid w:val="005B1DBD"/>
    <w:rsid w:val="005B258A"/>
    <w:rsid w:val="005B25AF"/>
    <w:rsid w:val="005B28E4"/>
    <w:rsid w:val="005B3005"/>
    <w:rsid w:val="005B32F7"/>
    <w:rsid w:val="005B373A"/>
    <w:rsid w:val="005B380E"/>
    <w:rsid w:val="005B3BA1"/>
    <w:rsid w:val="005B45EC"/>
    <w:rsid w:val="005B4954"/>
    <w:rsid w:val="005B4AD1"/>
    <w:rsid w:val="005B5032"/>
    <w:rsid w:val="005B5123"/>
    <w:rsid w:val="005B56EE"/>
    <w:rsid w:val="005B5E4F"/>
    <w:rsid w:val="005B5F0A"/>
    <w:rsid w:val="005B623C"/>
    <w:rsid w:val="005B6677"/>
    <w:rsid w:val="005B6741"/>
    <w:rsid w:val="005B69F7"/>
    <w:rsid w:val="005C05C6"/>
    <w:rsid w:val="005C08D0"/>
    <w:rsid w:val="005C0A72"/>
    <w:rsid w:val="005C0B60"/>
    <w:rsid w:val="005C1123"/>
    <w:rsid w:val="005C1809"/>
    <w:rsid w:val="005C1989"/>
    <w:rsid w:val="005C1E28"/>
    <w:rsid w:val="005C2305"/>
    <w:rsid w:val="005C2375"/>
    <w:rsid w:val="005C24A9"/>
    <w:rsid w:val="005C24E1"/>
    <w:rsid w:val="005C3301"/>
    <w:rsid w:val="005C43B0"/>
    <w:rsid w:val="005C4463"/>
    <w:rsid w:val="005C525B"/>
    <w:rsid w:val="005C53FE"/>
    <w:rsid w:val="005C5B3E"/>
    <w:rsid w:val="005C5D3F"/>
    <w:rsid w:val="005C6443"/>
    <w:rsid w:val="005C646C"/>
    <w:rsid w:val="005C6C46"/>
    <w:rsid w:val="005C70A3"/>
    <w:rsid w:val="005C7E45"/>
    <w:rsid w:val="005D0371"/>
    <w:rsid w:val="005D06A9"/>
    <w:rsid w:val="005D06FE"/>
    <w:rsid w:val="005D0F5D"/>
    <w:rsid w:val="005D0FD6"/>
    <w:rsid w:val="005D10BA"/>
    <w:rsid w:val="005D1108"/>
    <w:rsid w:val="005D1453"/>
    <w:rsid w:val="005D16A6"/>
    <w:rsid w:val="005D16C9"/>
    <w:rsid w:val="005D1934"/>
    <w:rsid w:val="005D1D20"/>
    <w:rsid w:val="005D2E98"/>
    <w:rsid w:val="005D324F"/>
    <w:rsid w:val="005D35D6"/>
    <w:rsid w:val="005D3729"/>
    <w:rsid w:val="005D3BBB"/>
    <w:rsid w:val="005D413E"/>
    <w:rsid w:val="005D4311"/>
    <w:rsid w:val="005D45F6"/>
    <w:rsid w:val="005D46B8"/>
    <w:rsid w:val="005D486D"/>
    <w:rsid w:val="005D4FBF"/>
    <w:rsid w:val="005D523B"/>
    <w:rsid w:val="005D5628"/>
    <w:rsid w:val="005D599B"/>
    <w:rsid w:val="005D5A47"/>
    <w:rsid w:val="005D60D6"/>
    <w:rsid w:val="005D62AE"/>
    <w:rsid w:val="005D676C"/>
    <w:rsid w:val="005D6B96"/>
    <w:rsid w:val="005D6E00"/>
    <w:rsid w:val="005D6E22"/>
    <w:rsid w:val="005D6F59"/>
    <w:rsid w:val="005D71DA"/>
    <w:rsid w:val="005D71EE"/>
    <w:rsid w:val="005D7376"/>
    <w:rsid w:val="005D79D1"/>
    <w:rsid w:val="005D7B15"/>
    <w:rsid w:val="005D7F80"/>
    <w:rsid w:val="005D7FE9"/>
    <w:rsid w:val="005E0107"/>
    <w:rsid w:val="005E01EB"/>
    <w:rsid w:val="005E0D12"/>
    <w:rsid w:val="005E12A0"/>
    <w:rsid w:val="005E19AF"/>
    <w:rsid w:val="005E1C8B"/>
    <w:rsid w:val="005E2022"/>
    <w:rsid w:val="005E2A37"/>
    <w:rsid w:val="005E2EB2"/>
    <w:rsid w:val="005E2ED5"/>
    <w:rsid w:val="005E3B3C"/>
    <w:rsid w:val="005E3DCF"/>
    <w:rsid w:val="005E410F"/>
    <w:rsid w:val="005E4766"/>
    <w:rsid w:val="005E4AAC"/>
    <w:rsid w:val="005E4B77"/>
    <w:rsid w:val="005E4FE6"/>
    <w:rsid w:val="005E525C"/>
    <w:rsid w:val="005E5495"/>
    <w:rsid w:val="005E59FC"/>
    <w:rsid w:val="005E62F8"/>
    <w:rsid w:val="005E63D9"/>
    <w:rsid w:val="005E63F7"/>
    <w:rsid w:val="005E6734"/>
    <w:rsid w:val="005E687E"/>
    <w:rsid w:val="005E6A78"/>
    <w:rsid w:val="005E6AB7"/>
    <w:rsid w:val="005E6E58"/>
    <w:rsid w:val="005E7346"/>
    <w:rsid w:val="005E7604"/>
    <w:rsid w:val="005E7620"/>
    <w:rsid w:val="005E7909"/>
    <w:rsid w:val="005F00C8"/>
    <w:rsid w:val="005F0D8F"/>
    <w:rsid w:val="005F0E90"/>
    <w:rsid w:val="005F1A4C"/>
    <w:rsid w:val="005F21DF"/>
    <w:rsid w:val="005F2DED"/>
    <w:rsid w:val="005F3C83"/>
    <w:rsid w:val="005F4219"/>
    <w:rsid w:val="005F43D6"/>
    <w:rsid w:val="005F45F2"/>
    <w:rsid w:val="005F4E8A"/>
    <w:rsid w:val="005F4F89"/>
    <w:rsid w:val="005F54AF"/>
    <w:rsid w:val="005F5774"/>
    <w:rsid w:val="005F5C78"/>
    <w:rsid w:val="005F5D1E"/>
    <w:rsid w:val="005F5EB3"/>
    <w:rsid w:val="005F61D9"/>
    <w:rsid w:val="005F6325"/>
    <w:rsid w:val="005F648B"/>
    <w:rsid w:val="005F668C"/>
    <w:rsid w:val="005F66B5"/>
    <w:rsid w:val="005F6918"/>
    <w:rsid w:val="005F6CCD"/>
    <w:rsid w:val="005F6E24"/>
    <w:rsid w:val="005F6FF4"/>
    <w:rsid w:val="005F7587"/>
    <w:rsid w:val="005F78E7"/>
    <w:rsid w:val="005F7CD5"/>
    <w:rsid w:val="006000A9"/>
    <w:rsid w:val="00600624"/>
    <w:rsid w:val="00600668"/>
    <w:rsid w:val="00600B51"/>
    <w:rsid w:val="00600D72"/>
    <w:rsid w:val="0060128D"/>
    <w:rsid w:val="006012A2"/>
    <w:rsid w:val="00601577"/>
    <w:rsid w:val="00602196"/>
    <w:rsid w:val="00602606"/>
    <w:rsid w:val="0060357C"/>
    <w:rsid w:val="00603D6F"/>
    <w:rsid w:val="00604434"/>
    <w:rsid w:val="00604673"/>
    <w:rsid w:val="0060495E"/>
    <w:rsid w:val="00604EF2"/>
    <w:rsid w:val="006055EE"/>
    <w:rsid w:val="0060561F"/>
    <w:rsid w:val="0060573A"/>
    <w:rsid w:val="00605B5E"/>
    <w:rsid w:val="00606112"/>
    <w:rsid w:val="006061EA"/>
    <w:rsid w:val="0060656D"/>
    <w:rsid w:val="00606968"/>
    <w:rsid w:val="006104B0"/>
    <w:rsid w:val="006110F3"/>
    <w:rsid w:val="006111F6"/>
    <w:rsid w:val="0061128E"/>
    <w:rsid w:val="0061146D"/>
    <w:rsid w:val="00611B50"/>
    <w:rsid w:val="00611DE1"/>
    <w:rsid w:val="006123AD"/>
    <w:rsid w:val="00612921"/>
    <w:rsid w:val="00613616"/>
    <w:rsid w:val="0061378E"/>
    <w:rsid w:val="00613D77"/>
    <w:rsid w:val="0061403D"/>
    <w:rsid w:val="006145B7"/>
    <w:rsid w:val="00614B63"/>
    <w:rsid w:val="00614ECF"/>
    <w:rsid w:val="0061512D"/>
    <w:rsid w:val="0061550B"/>
    <w:rsid w:val="00615756"/>
    <w:rsid w:val="00615767"/>
    <w:rsid w:val="00615E0C"/>
    <w:rsid w:val="006162BC"/>
    <w:rsid w:val="006163BE"/>
    <w:rsid w:val="00616613"/>
    <w:rsid w:val="00616D83"/>
    <w:rsid w:val="00616DA7"/>
    <w:rsid w:val="00617441"/>
    <w:rsid w:val="006200D6"/>
    <w:rsid w:val="00620670"/>
    <w:rsid w:val="006207D9"/>
    <w:rsid w:val="00620F4D"/>
    <w:rsid w:val="006210C9"/>
    <w:rsid w:val="006212A0"/>
    <w:rsid w:val="006217D6"/>
    <w:rsid w:val="006219D7"/>
    <w:rsid w:val="00621A7D"/>
    <w:rsid w:val="00621F3E"/>
    <w:rsid w:val="0062232F"/>
    <w:rsid w:val="0062233B"/>
    <w:rsid w:val="00622A6E"/>
    <w:rsid w:val="00622FB2"/>
    <w:rsid w:val="0062386D"/>
    <w:rsid w:val="0062425F"/>
    <w:rsid w:val="00624B1C"/>
    <w:rsid w:val="00624B73"/>
    <w:rsid w:val="00624B7A"/>
    <w:rsid w:val="00624B89"/>
    <w:rsid w:val="00624BA6"/>
    <w:rsid w:val="00624C22"/>
    <w:rsid w:val="00624E5A"/>
    <w:rsid w:val="00625110"/>
    <w:rsid w:val="00625462"/>
    <w:rsid w:val="0062686F"/>
    <w:rsid w:val="0062690B"/>
    <w:rsid w:val="00626CA4"/>
    <w:rsid w:val="0062733B"/>
    <w:rsid w:val="0062744E"/>
    <w:rsid w:val="00627599"/>
    <w:rsid w:val="00627949"/>
    <w:rsid w:val="00627BC4"/>
    <w:rsid w:val="00627F14"/>
    <w:rsid w:val="00630196"/>
    <w:rsid w:val="00630282"/>
    <w:rsid w:val="00630352"/>
    <w:rsid w:val="00630DF1"/>
    <w:rsid w:val="00631ADD"/>
    <w:rsid w:val="0063211D"/>
    <w:rsid w:val="00632557"/>
    <w:rsid w:val="00632A46"/>
    <w:rsid w:val="00634A83"/>
    <w:rsid w:val="00634C4B"/>
    <w:rsid w:val="00635139"/>
    <w:rsid w:val="00635874"/>
    <w:rsid w:val="00635C58"/>
    <w:rsid w:val="00635C92"/>
    <w:rsid w:val="00635DDF"/>
    <w:rsid w:val="00635EE0"/>
    <w:rsid w:val="00636228"/>
    <w:rsid w:val="00636661"/>
    <w:rsid w:val="006369EA"/>
    <w:rsid w:val="00636DC3"/>
    <w:rsid w:val="00636EFF"/>
    <w:rsid w:val="00636F27"/>
    <w:rsid w:val="00636F47"/>
    <w:rsid w:val="006373C5"/>
    <w:rsid w:val="00637565"/>
    <w:rsid w:val="00637AA9"/>
    <w:rsid w:val="0064060E"/>
    <w:rsid w:val="0064072D"/>
    <w:rsid w:val="0064098E"/>
    <w:rsid w:val="006409B5"/>
    <w:rsid w:val="00640C46"/>
    <w:rsid w:val="00640D2C"/>
    <w:rsid w:val="00640E1C"/>
    <w:rsid w:val="00641458"/>
    <w:rsid w:val="006414D9"/>
    <w:rsid w:val="006416CF"/>
    <w:rsid w:val="00641BD8"/>
    <w:rsid w:val="006424A2"/>
    <w:rsid w:val="00642E38"/>
    <w:rsid w:val="00642E8D"/>
    <w:rsid w:val="00643162"/>
    <w:rsid w:val="0064347B"/>
    <w:rsid w:val="0064374B"/>
    <w:rsid w:val="00643DBB"/>
    <w:rsid w:val="00643EF5"/>
    <w:rsid w:val="00644769"/>
    <w:rsid w:val="00644862"/>
    <w:rsid w:val="00644915"/>
    <w:rsid w:val="00644991"/>
    <w:rsid w:val="00644BA6"/>
    <w:rsid w:val="00644DFD"/>
    <w:rsid w:val="006451BD"/>
    <w:rsid w:val="00645D6B"/>
    <w:rsid w:val="00645DEE"/>
    <w:rsid w:val="00646C66"/>
    <w:rsid w:val="00646D5C"/>
    <w:rsid w:val="006475EF"/>
    <w:rsid w:val="00647AEB"/>
    <w:rsid w:val="00647E95"/>
    <w:rsid w:val="00647E9C"/>
    <w:rsid w:val="006501DB"/>
    <w:rsid w:val="00650596"/>
    <w:rsid w:val="006506AF"/>
    <w:rsid w:val="0065091C"/>
    <w:rsid w:val="00650FD3"/>
    <w:rsid w:val="00651104"/>
    <w:rsid w:val="00651755"/>
    <w:rsid w:val="0065187C"/>
    <w:rsid w:val="00651A7C"/>
    <w:rsid w:val="0065203B"/>
    <w:rsid w:val="006521A7"/>
    <w:rsid w:val="00652292"/>
    <w:rsid w:val="00652617"/>
    <w:rsid w:val="00652FB7"/>
    <w:rsid w:val="006532E9"/>
    <w:rsid w:val="00653920"/>
    <w:rsid w:val="006539F2"/>
    <w:rsid w:val="00653BE3"/>
    <w:rsid w:val="00654324"/>
    <w:rsid w:val="00654A47"/>
    <w:rsid w:val="00654E38"/>
    <w:rsid w:val="006554F8"/>
    <w:rsid w:val="00655BD4"/>
    <w:rsid w:val="0065607E"/>
    <w:rsid w:val="00656459"/>
    <w:rsid w:val="0065705F"/>
    <w:rsid w:val="0065719B"/>
    <w:rsid w:val="00657E24"/>
    <w:rsid w:val="0066003D"/>
    <w:rsid w:val="006606E0"/>
    <w:rsid w:val="006608C1"/>
    <w:rsid w:val="006609CD"/>
    <w:rsid w:val="006609FE"/>
    <w:rsid w:val="00660A84"/>
    <w:rsid w:val="00660DED"/>
    <w:rsid w:val="006613C3"/>
    <w:rsid w:val="00661733"/>
    <w:rsid w:val="006617F5"/>
    <w:rsid w:val="0066197A"/>
    <w:rsid w:val="00661E03"/>
    <w:rsid w:val="00661FC0"/>
    <w:rsid w:val="00662484"/>
    <w:rsid w:val="00662571"/>
    <w:rsid w:val="00662643"/>
    <w:rsid w:val="006626D8"/>
    <w:rsid w:val="00662737"/>
    <w:rsid w:val="006627AD"/>
    <w:rsid w:val="00662848"/>
    <w:rsid w:val="00662955"/>
    <w:rsid w:val="00662B73"/>
    <w:rsid w:val="00662D0F"/>
    <w:rsid w:val="0066319D"/>
    <w:rsid w:val="006632BA"/>
    <w:rsid w:val="006638C7"/>
    <w:rsid w:val="00663B5E"/>
    <w:rsid w:val="00664288"/>
    <w:rsid w:val="006643F6"/>
    <w:rsid w:val="00664407"/>
    <w:rsid w:val="00664686"/>
    <w:rsid w:val="0066475D"/>
    <w:rsid w:val="00664E8B"/>
    <w:rsid w:val="00665403"/>
    <w:rsid w:val="006654DA"/>
    <w:rsid w:val="00666662"/>
    <w:rsid w:val="00666D47"/>
    <w:rsid w:val="00667CCD"/>
    <w:rsid w:val="0067067F"/>
    <w:rsid w:val="006706A0"/>
    <w:rsid w:val="00670ED7"/>
    <w:rsid w:val="0067109F"/>
    <w:rsid w:val="00671303"/>
    <w:rsid w:val="00671C16"/>
    <w:rsid w:val="006721F1"/>
    <w:rsid w:val="006726A6"/>
    <w:rsid w:val="006728EE"/>
    <w:rsid w:val="00672FE5"/>
    <w:rsid w:val="0067312D"/>
    <w:rsid w:val="00674189"/>
    <w:rsid w:val="00674975"/>
    <w:rsid w:val="00674D67"/>
    <w:rsid w:val="00674E21"/>
    <w:rsid w:val="006756C2"/>
    <w:rsid w:val="00676227"/>
    <w:rsid w:val="00676471"/>
    <w:rsid w:val="006764F6"/>
    <w:rsid w:val="0067781E"/>
    <w:rsid w:val="00677C8E"/>
    <w:rsid w:val="00680C51"/>
    <w:rsid w:val="006812C3"/>
    <w:rsid w:val="00681432"/>
    <w:rsid w:val="00681FD1"/>
    <w:rsid w:val="00682031"/>
    <w:rsid w:val="0068208E"/>
    <w:rsid w:val="006822DA"/>
    <w:rsid w:val="0068270E"/>
    <w:rsid w:val="0068279B"/>
    <w:rsid w:val="00682826"/>
    <w:rsid w:val="00682B42"/>
    <w:rsid w:val="00682D19"/>
    <w:rsid w:val="00683557"/>
    <w:rsid w:val="006843E3"/>
    <w:rsid w:val="006845D4"/>
    <w:rsid w:val="00684760"/>
    <w:rsid w:val="00684AEA"/>
    <w:rsid w:val="00685E22"/>
    <w:rsid w:val="00685E86"/>
    <w:rsid w:val="006863AD"/>
    <w:rsid w:val="006869F8"/>
    <w:rsid w:val="00687326"/>
    <w:rsid w:val="00687673"/>
    <w:rsid w:val="00687C7B"/>
    <w:rsid w:val="006900DD"/>
    <w:rsid w:val="00690A3B"/>
    <w:rsid w:val="00690CCA"/>
    <w:rsid w:val="00691B89"/>
    <w:rsid w:val="006922B3"/>
    <w:rsid w:val="00692317"/>
    <w:rsid w:val="006923CD"/>
    <w:rsid w:val="006924BC"/>
    <w:rsid w:val="00692730"/>
    <w:rsid w:val="00692873"/>
    <w:rsid w:val="00692BE7"/>
    <w:rsid w:val="00692F98"/>
    <w:rsid w:val="00693737"/>
    <w:rsid w:val="0069532D"/>
    <w:rsid w:val="00695617"/>
    <w:rsid w:val="00696187"/>
    <w:rsid w:val="006965CE"/>
    <w:rsid w:val="00696656"/>
    <w:rsid w:val="00697639"/>
    <w:rsid w:val="006A0405"/>
    <w:rsid w:val="006A05CB"/>
    <w:rsid w:val="006A0FC3"/>
    <w:rsid w:val="006A115D"/>
    <w:rsid w:val="006A1466"/>
    <w:rsid w:val="006A1F44"/>
    <w:rsid w:val="006A22DA"/>
    <w:rsid w:val="006A2A4F"/>
    <w:rsid w:val="006A33F1"/>
    <w:rsid w:val="006A3504"/>
    <w:rsid w:val="006A39E7"/>
    <w:rsid w:val="006A3BF8"/>
    <w:rsid w:val="006A3C0C"/>
    <w:rsid w:val="006A4247"/>
    <w:rsid w:val="006A48B4"/>
    <w:rsid w:val="006A50EC"/>
    <w:rsid w:val="006A5C70"/>
    <w:rsid w:val="006A5F59"/>
    <w:rsid w:val="006A60B2"/>
    <w:rsid w:val="006A6285"/>
    <w:rsid w:val="006A6782"/>
    <w:rsid w:val="006A6ADB"/>
    <w:rsid w:val="006A6E2A"/>
    <w:rsid w:val="006A72B0"/>
    <w:rsid w:val="006A733B"/>
    <w:rsid w:val="006A7A7D"/>
    <w:rsid w:val="006A7A7E"/>
    <w:rsid w:val="006A7B5F"/>
    <w:rsid w:val="006B05C8"/>
    <w:rsid w:val="006B0725"/>
    <w:rsid w:val="006B0B88"/>
    <w:rsid w:val="006B1BF7"/>
    <w:rsid w:val="006B1E88"/>
    <w:rsid w:val="006B2204"/>
    <w:rsid w:val="006B2CD6"/>
    <w:rsid w:val="006B2EFD"/>
    <w:rsid w:val="006B32CF"/>
    <w:rsid w:val="006B3C32"/>
    <w:rsid w:val="006B40E9"/>
    <w:rsid w:val="006B4B35"/>
    <w:rsid w:val="006B4EDC"/>
    <w:rsid w:val="006B503A"/>
    <w:rsid w:val="006B67E8"/>
    <w:rsid w:val="006B6B25"/>
    <w:rsid w:val="006B7184"/>
    <w:rsid w:val="006B720F"/>
    <w:rsid w:val="006B73DA"/>
    <w:rsid w:val="006B74D6"/>
    <w:rsid w:val="006B791F"/>
    <w:rsid w:val="006C0405"/>
    <w:rsid w:val="006C041C"/>
    <w:rsid w:val="006C065C"/>
    <w:rsid w:val="006C0BD4"/>
    <w:rsid w:val="006C106A"/>
    <w:rsid w:val="006C1934"/>
    <w:rsid w:val="006C1BF7"/>
    <w:rsid w:val="006C1FAA"/>
    <w:rsid w:val="006C2E76"/>
    <w:rsid w:val="006C2FDF"/>
    <w:rsid w:val="006C3224"/>
    <w:rsid w:val="006C37CF"/>
    <w:rsid w:val="006C4D6D"/>
    <w:rsid w:val="006C4E48"/>
    <w:rsid w:val="006C4E7D"/>
    <w:rsid w:val="006C511C"/>
    <w:rsid w:val="006C5746"/>
    <w:rsid w:val="006C613B"/>
    <w:rsid w:val="006C625C"/>
    <w:rsid w:val="006C6567"/>
    <w:rsid w:val="006C6A93"/>
    <w:rsid w:val="006C7119"/>
    <w:rsid w:val="006C7BA2"/>
    <w:rsid w:val="006D05DC"/>
    <w:rsid w:val="006D13BC"/>
    <w:rsid w:val="006D141F"/>
    <w:rsid w:val="006D169B"/>
    <w:rsid w:val="006D1BF3"/>
    <w:rsid w:val="006D1EDD"/>
    <w:rsid w:val="006D1FC9"/>
    <w:rsid w:val="006D2846"/>
    <w:rsid w:val="006D3C78"/>
    <w:rsid w:val="006D4148"/>
    <w:rsid w:val="006D42B1"/>
    <w:rsid w:val="006D46D6"/>
    <w:rsid w:val="006D4818"/>
    <w:rsid w:val="006D49A0"/>
    <w:rsid w:val="006D4C85"/>
    <w:rsid w:val="006D4E92"/>
    <w:rsid w:val="006D4F1F"/>
    <w:rsid w:val="006D5091"/>
    <w:rsid w:val="006D56C3"/>
    <w:rsid w:val="006D5C05"/>
    <w:rsid w:val="006D68D3"/>
    <w:rsid w:val="006D6B0B"/>
    <w:rsid w:val="006D72F1"/>
    <w:rsid w:val="006D77CF"/>
    <w:rsid w:val="006D7DB6"/>
    <w:rsid w:val="006E0379"/>
    <w:rsid w:val="006E0C3B"/>
    <w:rsid w:val="006E0C94"/>
    <w:rsid w:val="006E12B8"/>
    <w:rsid w:val="006E1AE7"/>
    <w:rsid w:val="006E1DA0"/>
    <w:rsid w:val="006E2065"/>
    <w:rsid w:val="006E2738"/>
    <w:rsid w:val="006E2794"/>
    <w:rsid w:val="006E2BB2"/>
    <w:rsid w:val="006E3785"/>
    <w:rsid w:val="006E3DDE"/>
    <w:rsid w:val="006E3E0E"/>
    <w:rsid w:val="006E40D4"/>
    <w:rsid w:val="006E4193"/>
    <w:rsid w:val="006E5FDE"/>
    <w:rsid w:val="006E65C9"/>
    <w:rsid w:val="006E6725"/>
    <w:rsid w:val="006E698A"/>
    <w:rsid w:val="006E6C46"/>
    <w:rsid w:val="006E7978"/>
    <w:rsid w:val="006E7CAE"/>
    <w:rsid w:val="006E7EAB"/>
    <w:rsid w:val="006F03F1"/>
    <w:rsid w:val="006F0DA4"/>
    <w:rsid w:val="006F1654"/>
    <w:rsid w:val="006F1914"/>
    <w:rsid w:val="006F1CC4"/>
    <w:rsid w:val="006F2A65"/>
    <w:rsid w:val="006F2E85"/>
    <w:rsid w:val="006F31E6"/>
    <w:rsid w:val="006F332B"/>
    <w:rsid w:val="006F356C"/>
    <w:rsid w:val="006F3683"/>
    <w:rsid w:val="006F3F4B"/>
    <w:rsid w:val="006F4638"/>
    <w:rsid w:val="006F5005"/>
    <w:rsid w:val="006F53C5"/>
    <w:rsid w:val="006F5D84"/>
    <w:rsid w:val="006F610A"/>
    <w:rsid w:val="006F6140"/>
    <w:rsid w:val="006F6749"/>
    <w:rsid w:val="006F6770"/>
    <w:rsid w:val="006F6AE1"/>
    <w:rsid w:val="006F6D80"/>
    <w:rsid w:val="006F7D8E"/>
    <w:rsid w:val="00700063"/>
    <w:rsid w:val="007005CD"/>
    <w:rsid w:val="00700D17"/>
    <w:rsid w:val="00701249"/>
    <w:rsid w:val="00701930"/>
    <w:rsid w:val="00701E11"/>
    <w:rsid w:val="0070236B"/>
    <w:rsid w:val="00702393"/>
    <w:rsid w:val="00703CD8"/>
    <w:rsid w:val="0070425C"/>
    <w:rsid w:val="00704EF9"/>
    <w:rsid w:val="00705776"/>
    <w:rsid w:val="0070594E"/>
    <w:rsid w:val="00706068"/>
    <w:rsid w:val="00706665"/>
    <w:rsid w:val="007067D7"/>
    <w:rsid w:val="0070689F"/>
    <w:rsid w:val="00706C11"/>
    <w:rsid w:val="00706EE0"/>
    <w:rsid w:val="007070E0"/>
    <w:rsid w:val="007074B3"/>
    <w:rsid w:val="00707F39"/>
    <w:rsid w:val="00707FDA"/>
    <w:rsid w:val="00710447"/>
    <w:rsid w:val="007105D9"/>
    <w:rsid w:val="007106AD"/>
    <w:rsid w:val="00710701"/>
    <w:rsid w:val="00711A1D"/>
    <w:rsid w:val="00711C07"/>
    <w:rsid w:val="00711D4C"/>
    <w:rsid w:val="00711DC1"/>
    <w:rsid w:val="00711EEF"/>
    <w:rsid w:val="0071317B"/>
    <w:rsid w:val="0071358B"/>
    <w:rsid w:val="0071387D"/>
    <w:rsid w:val="0071413A"/>
    <w:rsid w:val="00714308"/>
    <w:rsid w:val="00714505"/>
    <w:rsid w:val="00714845"/>
    <w:rsid w:val="0071485D"/>
    <w:rsid w:val="00714A40"/>
    <w:rsid w:val="00715902"/>
    <w:rsid w:val="0071600E"/>
    <w:rsid w:val="00717388"/>
    <w:rsid w:val="007173AF"/>
    <w:rsid w:val="007173BD"/>
    <w:rsid w:val="00717995"/>
    <w:rsid w:val="00717F1B"/>
    <w:rsid w:val="00720114"/>
    <w:rsid w:val="00720C0F"/>
    <w:rsid w:val="007213D5"/>
    <w:rsid w:val="0072144A"/>
    <w:rsid w:val="0072149C"/>
    <w:rsid w:val="0072171B"/>
    <w:rsid w:val="00721D3E"/>
    <w:rsid w:val="00721ED8"/>
    <w:rsid w:val="00721EEA"/>
    <w:rsid w:val="007224B5"/>
    <w:rsid w:val="007225B8"/>
    <w:rsid w:val="00722C64"/>
    <w:rsid w:val="00722DB7"/>
    <w:rsid w:val="00722E5A"/>
    <w:rsid w:val="00722F3B"/>
    <w:rsid w:val="0072306D"/>
    <w:rsid w:val="00723720"/>
    <w:rsid w:val="00723A83"/>
    <w:rsid w:val="007240CC"/>
    <w:rsid w:val="0072455D"/>
    <w:rsid w:val="00724824"/>
    <w:rsid w:val="007248A5"/>
    <w:rsid w:val="00724EB8"/>
    <w:rsid w:val="0072501A"/>
    <w:rsid w:val="00725D52"/>
    <w:rsid w:val="00726603"/>
    <w:rsid w:val="0072691C"/>
    <w:rsid w:val="0072756D"/>
    <w:rsid w:val="00727A77"/>
    <w:rsid w:val="00727C4C"/>
    <w:rsid w:val="00730B58"/>
    <w:rsid w:val="00730DC9"/>
    <w:rsid w:val="00730EBA"/>
    <w:rsid w:val="00731ACA"/>
    <w:rsid w:val="007323C7"/>
    <w:rsid w:val="00732B50"/>
    <w:rsid w:val="00732D33"/>
    <w:rsid w:val="00732FB6"/>
    <w:rsid w:val="0073318F"/>
    <w:rsid w:val="007339E6"/>
    <w:rsid w:val="007342F4"/>
    <w:rsid w:val="00734EDC"/>
    <w:rsid w:val="00735057"/>
    <w:rsid w:val="007354A4"/>
    <w:rsid w:val="007356D1"/>
    <w:rsid w:val="00735973"/>
    <w:rsid w:val="00736F8D"/>
    <w:rsid w:val="0073799B"/>
    <w:rsid w:val="00737D24"/>
    <w:rsid w:val="0074006C"/>
    <w:rsid w:val="007406E4"/>
    <w:rsid w:val="00740D3D"/>
    <w:rsid w:val="007414C7"/>
    <w:rsid w:val="007417C2"/>
    <w:rsid w:val="00742159"/>
    <w:rsid w:val="00742218"/>
    <w:rsid w:val="0074405C"/>
    <w:rsid w:val="00744245"/>
    <w:rsid w:val="007443BE"/>
    <w:rsid w:val="007443D1"/>
    <w:rsid w:val="007447A2"/>
    <w:rsid w:val="0074495F"/>
    <w:rsid w:val="00744F77"/>
    <w:rsid w:val="00744FAE"/>
    <w:rsid w:val="007457BA"/>
    <w:rsid w:val="00745E38"/>
    <w:rsid w:val="0074698C"/>
    <w:rsid w:val="00746A52"/>
    <w:rsid w:val="00746C83"/>
    <w:rsid w:val="00747484"/>
    <w:rsid w:val="00747FF2"/>
    <w:rsid w:val="00750304"/>
    <w:rsid w:val="00750AE7"/>
    <w:rsid w:val="0075116C"/>
    <w:rsid w:val="00751684"/>
    <w:rsid w:val="00751F1D"/>
    <w:rsid w:val="007528CF"/>
    <w:rsid w:val="00752C77"/>
    <w:rsid w:val="00752D76"/>
    <w:rsid w:val="00752F04"/>
    <w:rsid w:val="0075305C"/>
    <w:rsid w:val="0075307E"/>
    <w:rsid w:val="00753930"/>
    <w:rsid w:val="00753C20"/>
    <w:rsid w:val="00754616"/>
    <w:rsid w:val="00754711"/>
    <w:rsid w:val="00754DF3"/>
    <w:rsid w:val="00755801"/>
    <w:rsid w:val="007559AA"/>
    <w:rsid w:val="00755B4D"/>
    <w:rsid w:val="00755ED1"/>
    <w:rsid w:val="00756122"/>
    <w:rsid w:val="00756148"/>
    <w:rsid w:val="00756308"/>
    <w:rsid w:val="0075648B"/>
    <w:rsid w:val="0075682C"/>
    <w:rsid w:val="00756CA3"/>
    <w:rsid w:val="00756EBD"/>
    <w:rsid w:val="007576C3"/>
    <w:rsid w:val="00757BB1"/>
    <w:rsid w:val="00760429"/>
    <w:rsid w:val="007606DF"/>
    <w:rsid w:val="00761024"/>
    <w:rsid w:val="007610A8"/>
    <w:rsid w:val="007610FC"/>
    <w:rsid w:val="007615CF"/>
    <w:rsid w:val="00761AFD"/>
    <w:rsid w:val="0076210E"/>
    <w:rsid w:val="0076244C"/>
    <w:rsid w:val="00762624"/>
    <w:rsid w:val="007628BC"/>
    <w:rsid w:val="00762BD6"/>
    <w:rsid w:val="0076337D"/>
    <w:rsid w:val="00764282"/>
    <w:rsid w:val="00764813"/>
    <w:rsid w:val="00764838"/>
    <w:rsid w:val="00764A13"/>
    <w:rsid w:val="00764A55"/>
    <w:rsid w:val="00764C6B"/>
    <w:rsid w:val="007661BF"/>
    <w:rsid w:val="007664CE"/>
    <w:rsid w:val="0076780F"/>
    <w:rsid w:val="00767D57"/>
    <w:rsid w:val="00767DA5"/>
    <w:rsid w:val="00767DE6"/>
    <w:rsid w:val="00767FF4"/>
    <w:rsid w:val="00770203"/>
    <w:rsid w:val="007703B6"/>
    <w:rsid w:val="00770AC2"/>
    <w:rsid w:val="00770BAC"/>
    <w:rsid w:val="00770C7C"/>
    <w:rsid w:val="0077150C"/>
    <w:rsid w:val="007717DA"/>
    <w:rsid w:val="00771DB3"/>
    <w:rsid w:val="00771E4F"/>
    <w:rsid w:val="0077210C"/>
    <w:rsid w:val="00772209"/>
    <w:rsid w:val="0077238A"/>
    <w:rsid w:val="007724AB"/>
    <w:rsid w:val="00772C5C"/>
    <w:rsid w:val="00772CA3"/>
    <w:rsid w:val="00772CF2"/>
    <w:rsid w:val="00772DD2"/>
    <w:rsid w:val="00772E2E"/>
    <w:rsid w:val="007734B1"/>
    <w:rsid w:val="00773D6B"/>
    <w:rsid w:val="00775026"/>
    <w:rsid w:val="00775398"/>
    <w:rsid w:val="00775CCD"/>
    <w:rsid w:val="00776406"/>
    <w:rsid w:val="007766B5"/>
    <w:rsid w:val="007770C8"/>
    <w:rsid w:val="00777117"/>
    <w:rsid w:val="00777513"/>
    <w:rsid w:val="00777950"/>
    <w:rsid w:val="00780521"/>
    <w:rsid w:val="00780945"/>
    <w:rsid w:val="00780CCE"/>
    <w:rsid w:val="00780CE1"/>
    <w:rsid w:val="00781080"/>
    <w:rsid w:val="007813E6"/>
    <w:rsid w:val="00781567"/>
    <w:rsid w:val="00781BED"/>
    <w:rsid w:val="00781E3C"/>
    <w:rsid w:val="00782037"/>
    <w:rsid w:val="007820B7"/>
    <w:rsid w:val="00782405"/>
    <w:rsid w:val="007827B8"/>
    <w:rsid w:val="00782894"/>
    <w:rsid w:val="00782E0F"/>
    <w:rsid w:val="007830B1"/>
    <w:rsid w:val="0078338F"/>
    <w:rsid w:val="0078418E"/>
    <w:rsid w:val="00784625"/>
    <w:rsid w:val="007852BA"/>
    <w:rsid w:val="0078588B"/>
    <w:rsid w:val="0078647F"/>
    <w:rsid w:val="0078652D"/>
    <w:rsid w:val="00787061"/>
    <w:rsid w:val="00787A64"/>
    <w:rsid w:val="00787A6E"/>
    <w:rsid w:val="00787AA2"/>
    <w:rsid w:val="00787CD0"/>
    <w:rsid w:val="00787FB0"/>
    <w:rsid w:val="00787FED"/>
    <w:rsid w:val="00790360"/>
    <w:rsid w:val="0079121E"/>
    <w:rsid w:val="0079128E"/>
    <w:rsid w:val="00791748"/>
    <w:rsid w:val="00791E13"/>
    <w:rsid w:val="00791E34"/>
    <w:rsid w:val="007926B7"/>
    <w:rsid w:val="007927D0"/>
    <w:rsid w:val="00792C61"/>
    <w:rsid w:val="00792E6D"/>
    <w:rsid w:val="00793378"/>
    <w:rsid w:val="00793ED8"/>
    <w:rsid w:val="00795087"/>
    <w:rsid w:val="00795425"/>
    <w:rsid w:val="0079570D"/>
    <w:rsid w:val="00795C9C"/>
    <w:rsid w:val="00795D69"/>
    <w:rsid w:val="00795DA9"/>
    <w:rsid w:val="0079615B"/>
    <w:rsid w:val="00796307"/>
    <w:rsid w:val="00796380"/>
    <w:rsid w:val="00796781"/>
    <w:rsid w:val="00796896"/>
    <w:rsid w:val="00796B41"/>
    <w:rsid w:val="007A0296"/>
    <w:rsid w:val="007A0458"/>
    <w:rsid w:val="007A0770"/>
    <w:rsid w:val="007A0814"/>
    <w:rsid w:val="007A0883"/>
    <w:rsid w:val="007A0AF2"/>
    <w:rsid w:val="007A0B0D"/>
    <w:rsid w:val="007A0FDF"/>
    <w:rsid w:val="007A10F8"/>
    <w:rsid w:val="007A1177"/>
    <w:rsid w:val="007A11AC"/>
    <w:rsid w:val="007A16E1"/>
    <w:rsid w:val="007A1776"/>
    <w:rsid w:val="007A1B49"/>
    <w:rsid w:val="007A1EDC"/>
    <w:rsid w:val="007A2578"/>
    <w:rsid w:val="007A3082"/>
    <w:rsid w:val="007A3320"/>
    <w:rsid w:val="007A3887"/>
    <w:rsid w:val="007A39B6"/>
    <w:rsid w:val="007A3CD6"/>
    <w:rsid w:val="007A455D"/>
    <w:rsid w:val="007A457D"/>
    <w:rsid w:val="007A4589"/>
    <w:rsid w:val="007A4BA4"/>
    <w:rsid w:val="007A4DBA"/>
    <w:rsid w:val="007A55C9"/>
    <w:rsid w:val="007A577E"/>
    <w:rsid w:val="007A5875"/>
    <w:rsid w:val="007A63A1"/>
    <w:rsid w:val="007A63A8"/>
    <w:rsid w:val="007A64DE"/>
    <w:rsid w:val="007A659E"/>
    <w:rsid w:val="007A6705"/>
    <w:rsid w:val="007A6C99"/>
    <w:rsid w:val="007A6CFB"/>
    <w:rsid w:val="007A6E8B"/>
    <w:rsid w:val="007A709C"/>
    <w:rsid w:val="007A7505"/>
    <w:rsid w:val="007A7520"/>
    <w:rsid w:val="007A7541"/>
    <w:rsid w:val="007A763E"/>
    <w:rsid w:val="007A79FE"/>
    <w:rsid w:val="007B033C"/>
    <w:rsid w:val="007B0ECD"/>
    <w:rsid w:val="007B18D4"/>
    <w:rsid w:val="007B218E"/>
    <w:rsid w:val="007B21E5"/>
    <w:rsid w:val="007B27BB"/>
    <w:rsid w:val="007B2EAB"/>
    <w:rsid w:val="007B36EB"/>
    <w:rsid w:val="007B3C07"/>
    <w:rsid w:val="007B3FDF"/>
    <w:rsid w:val="007B4442"/>
    <w:rsid w:val="007B459B"/>
    <w:rsid w:val="007B4DCA"/>
    <w:rsid w:val="007B5339"/>
    <w:rsid w:val="007B5758"/>
    <w:rsid w:val="007B5C2D"/>
    <w:rsid w:val="007B61CF"/>
    <w:rsid w:val="007B6F29"/>
    <w:rsid w:val="007B6F90"/>
    <w:rsid w:val="007B70E2"/>
    <w:rsid w:val="007B7180"/>
    <w:rsid w:val="007B7200"/>
    <w:rsid w:val="007B749D"/>
    <w:rsid w:val="007B7840"/>
    <w:rsid w:val="007C03CA"/>
    <w:rsid w:val="007C0472"/>
    <w:rsid w:val="007C0D00"/>
    <w:rsid w:val="007C14FD"/>
    <w:rsid w:val="007C190B"/>
    <w:rsid w:val="007C2708"/>
    <w:rsid w:val="007C274F"/>
    <w:rsid w:val="007C2F92"/>
    <w:rsid w:val="007C31DA"/>
    <w:rsid w:val="007C33E2"/>
    <w:rsid w:val="007C3AC6"/>
    <w:rsid w:val="007C4118"/>
    <w:rsid w:val="007C41D3"/>
    <w:rsid w:val="007C41EA"/>
    <w:rsid w:val="007C4482"/>
    <w:rsid w:val="007C4D8A"/>
    <w:rsid w:val="007C4E6C"/>
    <w:rsid w:val="007C4FA2"/>
    <w:rsid w:val="007C5170"/>
    <w:rsid w:val="007C5455"/>
    <w:rsid w:val="007C67C6"/>
    <w:rsid w:val="007C6BE0"/>
    <w:rsid w:val="007D0EA1"/>
    <w:rsid w:val="007D11CF"/>
    <w:rsid w:val="007D17E3"/>
    <w:rsid w:val="007D2132"/>
    <w:rsid w:val="007D21CF"/>
    <w:rsid w:val="007D27E0"/>
    <w:rsid w:val="007D296A"/>
    <w:rsid w:val="007D2CA1"/>
    <w:rsid w:val="007D2D28"/>
    <w:rsid w:val="007D31B2"/>
    <w:rsid w:val="007D325F"/>
    <w:rsid w:val="007D3397"/>
    <w:rsid w:val="007D33AE"/>
    <w:rsid w:val="007D3F43"/>
    <w:rsid w:val="007D4A56"/>
    <w:rsid w:val="007D4D3E"/>
    <w:rsid w:val="007D4D4A"/>
    <w:rsid w:val="007D5ADB"/>
    <w:rsid w:val="007D6636"/>
    <w:rsid w:val="007D6FDB"/>
    <w:rsid w:val="007D7020"/>
    <w:rsid w:val="007E001B"/>
    <w:rsid w:val="007E01AA"/>
    <w:rsid w:val="007E090C"/>
    <w:rsid w:val="007E0C7C"/>
    <w:rsid w:val="007E0F89"/>
    <w:rsid w:val="007E1A13"/>
    <w:rsid w:val="007E1EE7"/>
    <w:rsid w:val="007E2191"/>
    <w:rsid w:val="007E2551"/>
    <w:rsid w:val="007E2F1C"/>
    <w:rsid w:val="007E32C8"/>
    <w:rsid w:val="007E3578"/>
    <w:rsid w:val="007E380C"/>
    <w:rsid w:val="007E49AB"/>
    <w:rsid w:val="007E4A1E"/>
    <w:rsid w:val="007E514E"/>
    <w:rsid w:val="007E56D0"/>
    <w:rsid w:val="007E5E50"/>
    <w:rsid w:val="007E619A"/>
    <w:rsid w:val="007E6425"/>
    <w:rsid w:val="007E651A"/>
    <w:rsid w:val="007E69E7"/>
    <w:rsid w:val="007E6A70"/>
    <w:rsid w:val="007E6ABC"/>
    <w:rsid w:val="007E6FE7"/>
    <w:rsid w:val="007E75AC"/>
    <w:rsid w:val="007E78B2"/>
    <w:rsid w:val="007E7BDC"/>
    <w:rsid w:val="007E7BF8"/>
    <w:rsid w:val="007E7C16"/>
    <w:rsid w:val="007F1B13"/>
    <w:rsid w:val="007F1BBE"/>
    <w:rsid w:val="007F2295"/>
    <w:rsid w:val="007F2516"/>
    <w:rsid w:val="007F2650"/>
    <w:rsid w:val="007F33D3"/>
    <w:rsid w:val="007F3AA3"/>
    <w:rsid w:val="007F3D2C"/>
    <w:rsid w:val="007F3D89"/>
    <w:rsid w:val="007F40EA"/>
    <w:rsid w:val="007F41A1"/>
    <w:rsid w:val="007F466C"/>
    <w:rsid w:val="007F4B34"/>
    <w:rsid w:val="007F4EBE"/>
    <w:rsid w:val="007F52DB"/>
    <w:rsid w:val="007F54EC"/>
    <w:rsid w:val="007F5995"/>
    <w:rsid w:val="007F59A5"/>
    <w:rsid w:val="007F5F2C"/>
    <w:rsid w:val="007F63DE"/>
    <w:rsid w:val="007F70C8"/>
    <w:rsid w:val="007F75A7"/>
    <w:rsid w:val="007F7B51"/>
    <w:rsid w:val="007F7FF6"/>
    <w:rsid w:val="00800111"/>
    <w:rsid w:val="00800C46"/>
    <w:rsid w:val="0080106F"/>
    <w:rsid w:val="0080237F"/>
    <w:rsid w:val="00802582"/>
    <w:rsid w:val="008030CC"/>
    <w:rsid w:val="00803D0E"/>
    <w:rsid w:val="00803DC5"/>
    <w:rsid w:val="00803E65"/>
    <w:rsid w:val="00804599"/>
    <w:rsid w:val="008046C8"/>
    <w:rsid w:val="008046FD"/>
    <w:rsid w:val="00804ACC"/>
    <w:rsid w:val="00804B20"/>
    <w:rsid w:val="00804CEE"/>
    <w:rsid w:val="00804E45"/>
    <w:rsid w:val="00804E76"/>
    <w:rsid w:val="00805456"/>
    <w:rsid w:val="008055BC"/>
    <w:rsid w:val="008059BB"/>
    <w:rsid w:val="008067BF"/>
    <w:rsid w:val="00806AFB"/>
    <w:rsid w:val="00807A42"/>
    <w:rsid w:val="00807C51"/>
    <w:rsid w:val="008102DE"/>
    <w:rsid w:val="0081067C"/>
    <w:rsid w:val="008107C8"/>
    <w:rsid w:val="00810C16"/>
    <w:rsid w:val="008111B2"/>
    <w:rsid w:val="00811356"/>
    <w:rsid w:val="008118A2"/>
    <w:rsid w:val="008118CF"/>
    <w:rsid w:val="008118F1"/>
    <w:rsid w:val="00811B15"/>
    <w:rsid w:val="00812B3F"/>
    <w:rsid w:val="00812DD3"/>
    <w:rsid w:val="008134E9"/>
    <w:rsid w:val="00813986"/>
    <w:rsid w:val="00813E39"/>
    <w:rsid w:val="00814252"/>
    <w:rsid w:val="00814623"/>
    <w:rsid w:val="00814AA8"/>
    <w:rsid w:val="00814B3A"/>
    <w:rsid w:val="0081543E"/>
    <w:rsid w:val="00815F39"/>
    <w:rsid w:val="008160C5"/>
    <w:rsid w:val="00816847"/>
    <w:rsid w:val="00816E61"/>
    <w:rsid w:val="00816F29"/>
    <w:rsid w:val="008175A6"/>
    <w:rsid w:val="0081781A"/>
    <w:rsid w:val="008179DE"/>
    <w:rsid w:val="00820128"/>
    <w:rsid w:val="008208E5"/>
    <w:rsid w:val="00820B2F"/>
    <w:rsid w:val="00821CF1"/>
    <w:rsid w:val="00821D0D"/>
    <w:rsid w:val="00822AE4"/>
    <w:rsid w:val="00823301"/>
    <w:rsid w:val="00823DBC"/>
    <w:rsid w:val="00823DF0"/>
    <w:rsid w:val="00823E8D"/>
    <w:rsid w:val="00823FE7"/>
    <w:rsid w:val="00824208"/>
    <w:rsid w:val="008245E8"/>
    <w:rsid w:val="00824620"/>
    <w:rsid w:val="00824A77"/>
    <w:rsid w:val="00825071"/>
    <w:rsid w:val="00825C60"/>
    <w:rsid w:val="00826F95"/>
    <w:rsid w:val="0082745E"/>
    <w:rsid w:val="008278D2"/>
    <w:rsid w:val="00827942"/>
    <w:rsid w:val="00827DA6"/>
    <w:rsid w:val="008306E1"/>
    <w:rsid w:val="00830759"/>
    <w:rsid w:val="00830817"/>
    <w:rsid w:val="00830921"/>
    <w:rsid w:val="0083095E"/>
    <w:rsid w:val="00830BAA"/>
    <w:rsid w:val="00830E44"/>
    <w:rsid w:val="00831340"/>
    <w:rsid w:val="00831BAB"/>
    <w:rsid w:val="00831DEC"/>
    <w:rsid w:val="008322D5"/>
    <w:rsid w:val="00832577"/>
    <w:rsid w:val="008326D8"/>
    <w:rsid w:val="0083345A"/>
    <w:rsid w:val="0083368F"/>
    <w:rsid w:val="00833716"/>
    <w:rsid w:val="00833994"/>
    <w:rsid w:val="00833ADC"/>
    <w:rsid w:val="00833B66"/>
    <w:rsid w:val="008342E9"/>
    <w:rsid w:val="008343DC"/>
    <w:rsid w:val="00834734"/>
    <w:rsid w:val="00835269"/>
    <w:rsid w:val="00835965"/>
    <w:rsid w:val="00835F2A"/>
    <w:rsid w:val="00836186"/>
    <w:rsid w:val="008362AB"/>
    <w:rsid w:val="00836658"/>
    <w:rsid w:val="0083686F"/>
    <w:rsid w:val="00836DD8"/>
    <w:rsid w:val="008379F7"/>
    <w:rsid w:val="00837A93"/>
    <w:rsid w:val="00837E2C"/>
    <w:rsid w:val="00840DAC"/>
    <w:rsid w:val="008413AB"/>
    <w:rsid w:val="00841464"/>
    <w:rsid w:val="00841B40"/>
    <w:rsid w:val="00842CA8"/>
    <w:rsid w:val="008433B1"/>
    <w:rsid w:val="00843F99"/>
    <w:rsid w:val="00844974"/>
    <w:rsid w:val="00844B4F"/>
    <w:rsid w:val="00844DE0"/>
    <w:rsid w:val="00844DEE"/>
    <w:rsid w:val="008450FB"/>
    <w:rsid w:val="00845CAC"/>
    <w:rsid w:val="00846C62"/>
    <w:rsid w:val="00847266"/>
    <w:rsid w:val="00847C2C"/>
    <w:rsid w:val="00847D37"/>
    <w:rsid w:val="00847EBF"/>
    <w:rsid w:val="00847FC7"/>
    <w:rsid w:val="008500DD"/>
    <w:rsid w:val="00850141"/>
    <w:rsid w:val="00850B6F"/>
    <w:rsid w:val="00850F90"/>
    <w:rsid w:val="0085104B"/>
    <w:rsid w:val="0085115C"/>
    <w:rsid w:val="00851DEB"/>
    <w:rsid w:val="008522B8"/>
    <w:rsid w:val="008523FA"/>
    <w:rsid w:val="0085280F"/>
    <w:rsid w:val="008528AE"/>
    <w:rsid w:val="008528C3"/>
    <w:rsid w:val="00853A7F"/>
    <w:rsid w:val="00853CA0"/>
    <w:rsid w:val="008540E1"/>
    <w:rsid w:val="00854124"/>
    <w:rsid w:val="008541AF"/>
    <w:rsid w:val="0085473C"/>
    <w:rsid w:val="00854E7F"/>
    <w:rsid w:val="00855098"/>
    <w:rsid w:val="00855B55"/>
    <w:rsid w:val="00855FC7"/>
    <w:rsid w:val="0085601A"/>
    <w:rsid w:val="008569CF"/>
    <w:rsid w:val="0085757F"/>
    <w:rsid w:val="0085779F"/>
    <w:rsid w:val="00860659"/>
    <w:rsid w:val="00860F9F"/>
    <w:rsid w:val="00861813"/>
    <w:rsid w:val="008618E7"/>
    <w:rsid w:val="00861C9E"/>
    <w:rsid w:val="008620D5"/>
    <w:rsid w:val="0086211F"/>
    <w:rsid w:val="0086233B"/>
    <w:rsid w:val="0086280F"/>
    <w:rsid w:val="00863526"/>
    <w:rsid w:val="008643D5"/>
    <w:rsid w:val="00864AEA"/>
    <w:rsid w:val="00864D40"/>
    <w:rsid w:val="0086545B"/>
    <w:rsid w:val="00865723"/>
    <w:rsid w:val="00865A5E"/>
    <w:rsid w:val="00866822"/>
    <w:rsid w:val="00866CD8"/>
    <w:rsid w:val="008676CC"/>
    <w:rsid w:val="00870E97"/>
    <w:rsid w:val="0087135C"/>
    <w:rsid w:val="0087289A"/>
    <w:rsid w:val="00872A63"/>
    <w:rsid w:val="00872BFE"/>
    <w:rsid w:val="00873080"/>
    <w:rsid w:val="00873748"/>
    <w:rsid w:val="00873ED2"/>
    <w:rsid w:val="00873F3A"/>
    <w:rsid w:val="008744CC"/>
    <w:rsid w:val="008751EE"/>
    <w:rsid w:val="00875575"/>
    <w:rsid w:val="00875FC8"/>
    <w:rsid w:val="00876CC8"/>
    <w:rsid w:val="008773A0"/>
    <w:rsid w:val="00877587"/>
    <w:rsid w:val="00877623"/>
    <w:rsid w:val="00877AF2"/>
    <w:rsid w:val="0088008B"/>
    <w:rsid w:val="008801A4"/>
    <w:rsid w:val="00880AF9"/>
    <w:rsid w:val="008810F9"/>
    <w:rsid w:val="00881877"/>
    <w:rsid w:val="008819D5"/>
    <w:rsid w:val="00881F47"/>
    <w:rsid w:val="00881F5B"/>
    <w:rsid w:val="0088208A"/>
    <w:rsid w:val="00882194"/>
    <w:rsid w:val="0088228B"/>
    <w:rsid w:val="00882453"/>
    <w:rsid w:val="008825E2"/>
    <w:rsid w:val="00882922"/>
    <w:rsid w:val="008831BE"/>
    <w:rsid w:val="00883249"/>
    <w:rsid w:val="0088449D"/>
    <w:rsid w:val="00884676"/>
    <w:rsid w:val="00884A3D"/>
    <w:rsid w:val="00884DFE"/>
    <w:rsid w:val="00885EC1"/>
    <w:rsid w:val="00886F14"/>
    <w:rsid w:val="008870AB"/>
    <w:rsid w:val="008900C5"/>
    <w:rsid w:val="008903B2"/>
    <w:rsid w:val="008903ED"/>
    <w:rsid w:val="008919E0"/>
    <w:rsid w:val="00891AB4"/>
    <w:rsid w:val="00892311"/>
    <w:rsid w:val="00892E0C"/>
    <w:rsid w:val="008932C7"/>
    <w:rsid w:val="008933BF"/>
    <w:rsid w:val="008934A5"/>
    <w:rsid w:val="00893862"/>
    <w:rsid w:val="0089389F"/>
    <w:rsid w:val="00893CEA"/>
    <w:rsid w:val="00894298"/>
    <w:rsid w:val="00894C93"/>
    <w:rsid w:val="00895012"/>
    <w:rsid w:val="0089510F"/>
    <w:rsid w:val="00895D97"/>
    <w:rsid w:val="00895E01"/>
    <w:rsid w:val="008962A4"/>
    <w:rsid w:val="008969CE"/>
    <w:rsid w:val="00896A6A"/>
    <w:rsid w:val="00896B9F"/>
    <w:rsid w:val="00897152"/>
    <w:rsid w:val="008973C0"/>
    <w:rsid w:val="0089765B"/>
    <w:rsid w:val="0089769F"/>
    <w:rsid w:val="0089787D"/>
    <w:rsid w:val="008979AC"/>
    <w:rsid w:val="008A0226"/>
    <w:rsid w:val="008A045C"/>
    <w:rsid w:val="008A0984"/>
    <w:rsid w:val="008A0C8F"/>
    <w:rsid w:val="008A103C"/>
    <w:rsid w:val="008A15B1"/>
    <w:rsid w:val="008A1753"/>
    <w:rsid w:val="008A1764"/>
    <w:rsid w:val="008A1DFF"/>
    <w:rsid w:val="008A226E"/>
    <w:rsid w:val="008A2505"/>
    <w:rsid w:val="008A255E"/>
    <w:rsid w:val="008A3392"/>
    <w:rsid w:val="008A3FCA"/>
    <w:rsid w:val="008A407A"/>
    <w:rsid w:val="008A45D7"/>
    <w:rsid w:val="008A48FD"/>
    <w:rsid w:val="008A4B54"/>
    <w:rsid w:val="008A4B90"/>
    <w:rsid w:val="008A4BD9"/>
    <w:rsid w:val="008A4FBC"/>
    <w:rsid w:val="008A5FF1"/>
    <w:rsid w:val="008A6250"/>
    <w:rsid w:val="008A64F0"/>
    <w:rsid w:val="008A69B9"/>
    <w:rsid w:val="008A6D7E"/>
    <w:rsid w:val="008A7E46"/>
    <w:rsid w:val="008A7FD0"/>
    <w:rsid w:val="008B0002"/>
    <w:rsid w:val="008B0C19"/>
    <w:rsid w:val="008B0D40"/>
    <w:rsid w:val="008B0EFD"/>
    <w:rsid w:val="008B1191"/>
    <w:rsid w:val="008B13E7"/>
    <w:rsid w:val="008B1FFE"/>
    <w:rsid w:val="008B2757"/>
    <w:rsid w:val="008B2CF4"/>
    <w:rsid w:val="008B440B"/>
    <w:rsid w:val="008B48F8"/>
    <w:rsid w:val="008B4904"/>
    <w:rsid w:val="008B4AA6"/>
    <w:rsid w:val="008B4BAA"/>
    <w:rsid w:val="008B4D65"/>
    <w:rsid w:val="008B5419"/>
    <w:rsid w:val="008B54F7"/>
    <w:rsid w:val="008B5828"/>
    <w:rsid w:val="008B62DA"/>
    <w:rsid w:val="008B6A45"/>
    <w:rsid w:val="008B6D83"/>
    <w:rsid w:val="008B7480"/>
    <w:rsid w:val="008B74A7"/>
    <w:rsid w:val="008B77D7"/>
    <w:rsid w:val="008B7A86"/>
    <w:rsid w:val="008C0258"/>
    <w:rsid w:val="008C02D6"/>
    <w:rsid w:val="008C0370"/>
    <w:rsid w:val="008C0439"/>
    <w:rsid w:val="008C0670"/>
    <w:rsid w:val="008C08A2"/>
    <w:rsid w:val="008C0E8A"/>
    <w:rsid w:val="008C1612"/>
    <w:rsid w:val="008C2532"/>
    <w:rsid w:val="008C2C17"/>
    <w:rsid w:val="008C3105"/>
    <w:rsid w:val="008C4333"/>
    <w:rsid w:val="008C4773"/>
    <w:rsid w:val="008C47F1"/>
    <w:rsid w:val="008C4CF5"/>
    <w:rsid w:val="008C4E32"/>
    <w:rsid w:val="008C5719"/>
    <w:rsid w:val="008C57E8"/>
    <w:rsid w:val="008C5B12"/>
    <w:rsid w:val="008C5F42"/>
    <w:rsid w:val="008C60BF"/>
    <w:rsid w:val="008C63A8"/>
    <w:rsid w:val="008C7574"/>
    <w:rsid w:val="008C793C"/>
    <w:rsid w:val="008D020A"/>
    <w:rsid w:val="008D036E"/>
    <w:rsid w:val="008D0C05"/>
    <w:rsid w:val="008D0E16"/>
    <w:rsid w:val="008D150D"/>
    <w:rsid w:val="008D16DF"/>
    <w:rsid w:val="008D1D2B"/>
    <w:rsid w:val="008D204D"/>
    <w:rsid w:val="008D2136"/>
    <w:rsid w:val="008D268F"/>
    <w:rsid w:val="008D2B98"/>
    <w:rsid w:val="008D2D06"/>
    <w:rsid w:val="008D3176"/>
    <w:rsid w:val="008D3389"/>
    <w:rsid w:val="008D34EA"/>
    <w:rsid w:val="008D4324"/>
    <w:rsid w:val="008D4E7D"/>
    <w:rsid w:val="008D54A8"/>
    <w:rsid w:val="008D59B9"/>
    <w:rsid w:val="008D5A28"/>
    <w:rsid w:val="008D5C73"/>
    <w:rsid w:val="008D5E9D"/>
    <w:rsid w:val="008D6269"/>
    <w:rsid w:val="008D64C8"/>
    <w:rsid w:val="008D710E"/>
    <w:rsid w:val="008D725C"/>
    <w:rsid w:val="008D7830"/>
    <w:rsid w:val="008D7F1D"/>
    <w:rsid w:val="008D7F5C"/>
    <w:rsid w:val="008E120D"/>
    <w:rsid w:val="008E13B3"/>
    <w:rsid w:val="008E1492"/>
    <w:rsid w:val="008E188B"/>
    <w:rsid w:val="008E22DA"/>
    <w:rsid w:val="008E26DD"/>
    <w:rsid w:val="008E2A36"/>
    <w:rsid w:val="008E2AD5"/>
    <w:rsid w:val="008E2C5D"/>
    <w:rsid w:val="008E31CB"/>
    <w:rsid w:val="008E3515"/>
    <w:rsid w:val="008E36DC"/>
    <w:rsid w:val="008E4095"/>
    <w:rsid w:val="008E44C4"/>
    <w:rsid w:val="008E494A"/>
    <w:rsid w:val="008E4A17"/>
    <w:rsid w:val="008E4C96"/>
    <w:rsid w:val="008E521C"/>
    <w:rsid w:val="008E64DE"/>
    <w:rsid w:val="008E6B2F"/>
    <w:rsid w:val="008E7B48"/>
    <w:rsid w:val="008F05A3"/>
    <w:rsid w:val="008F07F4"/>
    <w:rsid w:val="008F0B74"/>
    <w:rsid w:val="008F0D3F"/>
    <w:rsid w:val="008F1092"/>
    <w:rsid w:val="008F14C2"/>
    <w:rsid w:val="008F18BC"/>
    <w:rsid w:val="008F1914"/>
    <w:rsid w:val="008F194F"/>
    <w:rsid w:val="008F1CB2"/>
    <w:rsid w:val="008F207D"/>
    <w:rsid w:val="008F21FA"/>
    <w:rsid w:val="008F2A42"/>
    <w:rsid w:val="008F2D4D"/>
    <w:rsid w:val="008F3563"/>
    <w:rsid w:val="008F3BFF"/>
    <w:rsid w:val="008F43C5"/>
    <w:rsid w:val="008F5349"/>
    <w:rsid w:val="008F577B"/>
    <w:rsid w:val="008F5896"/>
    <w:rsid w:val="008F5A26"/>
    <w:rsid w:val="008F639B"/>
    <w:rsid w:val="008F64F9"/>
    <w:rsid w:val="008F6645"/>
    <w:rsid w:val="008F6992"/>
    <w:rsid w:val="008F6B2C"/>
    <w:rsid w:val="008F6FF0"/>
    <w:rsid w:val="008F6FF8"/>
    <w:rsid w:val="008F738E"/>
    <w:rsid w:val="008F76C5"/>
    <w:rsid w:val="008F7B24"/>
    <w:rsid w:val="008F7E4B"/>
    <w:rsid w:val="008F7E63"/>
    <w:rsid w:val="00900097"/>
    <w:rsid w:val="00900118"/>
    <w:rsid w:val="009009A9"/>
    <w:rsid w:val="009013BE"/>
    <w:rsid w:val="00901BDB"/>
    <w:rsid w:val="0090337D"/>
    <w:rsid w:val="00903987"/>
    <w:rsid w:val="009039AE"/>
    <w:rsid w:val="00903EF6"/>
    <w:rsid w:val="00904377"/>
    <w:rsid w:val="009043E2"/>
    <w:rsid w:val="009044FD"/>
    <w:rsid w:val="009049EF"/>
    <w:rsid w:val="009058B8"/>
    <w:rsid w:val="00905EF7"/>
    <w:rsid w:val="00906876"/>
    <w:rsid w:val="00906AAB"/>
    <w:rsid w:val="00906AF4"/>
    <w:rsid w:val="00907607"/>
    <w:rsid w:val="00907E36"/>
    <w:rsid w:val="00907FFE"/>
    <w:rsid w:val="00910413"/>
    <w:rsid w:val="0091148E"/>
    <w:rsid w:val="00912053"/>
    <w:rsid w:val="00912233"/>
    <w:rsid w:val="00912298"/>
    <w:rsid w:val="0091237D"/>
    <w:rsid w:val="00913304"/>
    <w:rsid w:val="00913621"/>
    <w:rsid w:val="00913BA0"/>
    <w:rsid w:val="00913CC0"/>
    <w:rsid w:val="00913CED"/>
    <w:rsid w:val="00913F23"/>
    <w:rsid w:val="00913F71"/>
    <w:rsid w:val="009140D1"/>
    <w:rsid w:val="0091417E"/>
    <w:rsid w:val="0091539C"/>
    <w:rsid w:val="00915EA3"/>
    <w:rsid w:val="00916847"/>
    <w:rsid w:val="00916B1F"/>
    <w:rsid w:val="00917B24"/>
    <w:rsid w:val="0092094B"/>
    <w:rsid w:val="00920C99"/>
    <w:rsid w:val="00920EB9"/>
    <w:rsid w:val="009214A6"/>
    <w:rsid w:val="0092154A"/>
    <w:rsid w:val="00921550"/>
    <w:rsid w:val="009218FD"/>
    <w:rsid w:val="00921C66"/>
    <w:rsid w:val="009222E9"/>
    <w:rsid w:val="009226A7"/>
    <w:rsid w:val="0092282D"/>
    <w:rsid w:val="00922869"/>
    <w:rsid w:val="009228CF"/>
    <w:rsid w:val="00922E25"/>
    <w:rsid w:val="00923443"/>
    <w:rsid w:val="009236BA"/>
    <w:rsid w:val="009236E8"/>
    <w:rsid w:val="009239C9"/>
    <w:rsid w:val="00923F89"/>
    <w:rsid w:val="00924059"/>
    <w:rsid w:val="00924408"/>
    <w:rsid w:val="00924990"/>
    <w:rsid w:val="0092538F"/>
    <w:rsid w:val="0092546C"/>
    <w:rsid w:val="00926552"/>
    <w:rsid w:val="009277F3"/>
    <w:rsid w:val="009303FA"/>
    <w:rsid w:val="00930A20"/>
    <w:rsid w:val="00931FC0"/>
    <w:rsid w:val="00932092"/>
    <w:rsid w:val="00932325"/>
    <w:rsid w:val="00932CB6"/>
    <w:rsid w:val="00933BD9"/>
    <w:rsid w:val="00934182"/>
    <w:rsid w:val="009341BB"/>
    <w:rsid w:val="0093446F"/>
    <w:rsid w:val="009346BC"/>
    <w:rsid w:val="00935239"/>
    <w:rsid w:val="0093538E"/>
    <w:rsid w:val="009354EC"/>
    <w:rsid w:val="00935CD5"/>
    <w:rsid w:val="00935EB1"/>
    <w:rsid w:val="0093626B"/>
    <w:rsid w:val="00936B2A"/>
    <w:rsid w:val="00936F1A"/>
    <w:rsid w:val="009372EC"/>
    <w:rsid w:val="0094035C"/>
    <w:rsid w:val="00940BFD"/>
    <w:rsid w:val="00940D1B"/>
    <w:rsid w:val="00941199"/>
    <w:rsid w:val="00941315"/>
    <w:rsid w:val="0094155A"/>
    <w:rsid w:val="00941AAB"/>
    <w:rsid w:val="00941FD1"/>
    <w:rsid w:val="0094266A"/>
    <w:rsid w:val="00942FF4"/>
    <w:rsid w:val="00943657"/>
    <w:rsid w:val="00944238"/>
    <w:rsid w:val="009442E1"/>
    <w:rsid w:val="009443F1"/>
    <w:rsid w:val="00944656"/>
    <w:rsid w:val="0094491C"/>
    <w:rsid w:val="00944F5F"/>
    <w:rsid w:val="009450F1"/>
    <w:rsid w:val="00945815"/>
    <w:rsid w:val="00945AB5"/>
    <w:rsid w:val="00945BAA"/>
    <w:rsid w:val="00945CE5"/>
    <w:rsid w:val="00945DBB"/>
    <w:rsid w:val="009461F5"/>
    <w:rsid w:val="0094658D"/>
    <w:rsid w:val="00946C3E"/>
    <w:rsid w:val="0094730A"/>
    <w:rsid w:val="009473FE"/>
    <w:rsid w:val="00947D18"/>
    <w:rsid w:val="0095036B"/>
    <w:rsid w:val="00950848"/>
    <w:rsid w:val="00950C14"/>
    <w:rsid w:val="009517AC"/>
    <w:rsid w:val="009518F3"/>
    <w:rsid w:val="0095198C"/>
    <w:rsid w:val="00951FC5"/>
    <w:rsid w:val="009520EE"/>
    <w:rsid w:val="00952415"/>
    <w:rsid w:val="00952944"/>
    <w:rsid w:val="00952AA6"/>
    <w:rsid w:val="00952D64"/>
    <w:rsid w:val="009534E3"/>
    <w:rsid w:val="00953CCB"/>
    <w:rsid w:val="00953D52"/>
    <w:rsid w:val="0095451E"/>
    <w:rsid w:val="00954561"/>
    <w:rsid w:val="00954A0C"/>
    <w:rsid w:val="00954DA2"/>
    <w:rsid w:val="00955248"/>
    <w:rsid w:val="009556D2"/>
    <w:rsid w:val="00955E39"/>
    <w:rsid w:val="009561BA"/>
    <w:rsid w:val="0095643A"/>
    <w:rsid w:val="009568DD"/>
    <w:rsid w:val="00957161"/>
    <w:rsid w:val="009575C5"/>
    <w:rsid w:val="0096002E"/>
    <w:rsid w:val="00960285"/>
    <w:rsid w:val="009609ED"/>
    <w:rsid w:val="00961B54"/>
    <w:rsid w:val="00962798"/>
    <w:rsid w:val="00962F9C"/>
    <w:rsid w:val="009630CE"/>
    <w:rsid w:val="009630E0"/>
    <w:rsid w:val="009634AE"/>
    <w:rsid w:val="00963A24"/>
    <w:rsid w:val="00963B4A"/>
    <w:rsid w:val="009645AA"/>
    <w:rsid w:val="00964B6C"/>
    <w:rsid w:val="00964BE5"/>
    <w:rsid w:val="00964C04"/>
    <w:rsid w:val="0096565E"/>
    <w:rsid w:val="00965ED8"/>
    <w:rsid w:val="009661BF"/>
    <w:rsid w:val="009674CE"/>
    <w:rsid w:val="00967B40"/>
    <w:rsid w:val="00967D57"/>
    <w:rsid w:val="00970258"/>
    <w:rsid w:val="00970428"/>
    <w:rsid w:val="00970791"/>
    <w:rsid w:val="00971006"/>
    <w:rsid w:val="00971D29"/>
    <w:rsid w:val="00971E0D"/>
    <w:rsid w:val="0097208C"/>
    <w:rsid w:val="0097244D"/>
    <w:rsid w:val="00972E21"/>
    <w:rsid w:val="009731DF"/>
    <w:rsid w:val="00973AE1"/>
    <w:rsid w:val="009746F4"/>
    <w:rsid w:val="00974F65"/>
    <w:rsid w:val="00975007"/>
    <w:rsid w:val="00975D1A"/>
    <w:rsid w:val="00975D5D"/>
    <w:rsid w:val="00975DD9"/>
    <w:rsid w:val="0097682D"/>
    <w:rsid w:val="00976A49"/>
    <w:rsid w:val="00976AF3"/>
    <w:rsid w:val="00977724"/>
    <w:rsid w:val="009777EC"/>
    <w:rsid w:val="00980400"/>
    <w:rsid w:val="00981765"/>
    <w:rsid w:val="0098184D"/>
    <w:rsid w:val="00981EA8"/>
    <w:rsid w:val="00982AA5"/>
    <w:rsid w:val="00982C6D"/>
    <w:rsid w:val="0098391F"/>
    <w:rsid w:val="00983D24"/>
    <w:rsid w:val="00984B17"/>
    <w:rsid w:val="00984EB0"/>
    <w:rsid w:val="00985034"/>
    <w:rsid w:val="0098518F"/>
    <w:rsid w:val="009854BE"/>
    <w:rsid w:val="0098615E"/>
    <w:rsid w:val="00986489"/>
    <w:rsid w:val="0099013A"/>
    <w:rsid w:val="00990476"/>
    <w:rsid w:val="00990932"/>
    <w:rsid w:val="00990F8D"/>
    <w:rsid w:val="00991AEC"/>
    <w:rsid w:val="00991CEE"/>
    <w:rsid w:val="00991E09"/>
    <w:rsid w:val="009922C8"/>
    <w:rsid w:val="0099283A"/>
    <w:rsid w:val="00992892"/>
    <w:rsid w:val="0099357C"/>
    <w:rsid w:val="00993B1D"/>
    <w:rsid w:val="00993E89"/>
    <w:rsid w:val="00993EF1"/>
    <w:rsid w:val="00993F63"/>
    <w:rsid w:val="00994344"/>
    <w:rsid w:val="009943BE"/>
    <w:rsid w:val="0099463D"/>
    <w:rsid w:val="0099467C"/>
    <w:rsid w:val="009946ED"/>
    <w:rsid w:val="00994A0F"/>
    <w:rsid w:val="00994BA1"/>
    <w:rsid w:val="00994C2D"/>
    <w:rsid w:val="0099528C"/>
    <w:rsid w:val="00995890"/>
    <w:rsid w:val="00995931"/>
    <w:rsid w:val="00995AC6"/>
    <w:rsid w:val="00995D76"/>
    <w:rsid w:val="00995D9A"/>
    <w:rsid w:val="00996213"/>
    <w:rsid w:val="00996354"/>
    <w:rsid w:val="0099696D"/>
    <w:rsid w:val="00996A77"/>
    <w:rsid w:val="0099775C"/>
    <w:rsid w:val="00997D28"/>
    <w:rsid w:val="009A0272"/>
    <w:rsid w:val="009A0457"/>
    <w:rsid w:val="009A05E1"/>
    <w:rsid w:val="009A0778"/>
    <w:rsid w:val="009A0910"/>
    <w:rsid w:val="009A0B9D"/>
    <w:rsid w:val="009A1161"/>
    <w:rsid w:val="009A189C"/>
    <w:rsid w:val="009A22C5"/>
    <w:rsid w:val="009A2669"/>
    <w:rsid w:val="009A34A6"/>
    <w:rsid w:val="009A34D6"/>
    <w:rsid w:val="009A3543"/>
    <w:rsid w:val="009A4077"/>
    <w:rsid w:val="009A44CE"/>
    <w:rsid w:val="009A494B"/>
    <w:rsid w:val="009A496C"/>
    <w:rsid w:val="009A49D3"/>
    <w:rsid w:val="009A5002"/>
    <w:rsid w:val="009A5CD5"/>
    <w:rsid w:val="009A71AC"/>
    <w:rsid w:val="009A791B"/>
    <w:rsid w:val="009B0213"/>
    <w:rsid w:val="009B0F7F"/>
    <w:rsid w:val="009B135A"/>
    <w:rsid w:val="009B1CB7"/>
    <w:rsid w:val="009B1FDA"/>
    <w:rsid w:val="009B2C6C"/>
    <w:rsid w:val="009B3296"/>
    <w:rsid w:val="009B3A0E"/>
    <w:rsid w:val="009B3BD2"/>
    <w:rsid w:val="009B4A52"/>
    <w:rsid w:val="009B4C70"/>
    <w:rsid w:val="009B4F10"/>
    <w:rsid w:val="009B5F5D"/>
    <w:rsid w:val="009B627F"/>
    <w:rsid w:val="009B6300"/>
    <w:rsid w:val="009B6395"/>
    <w:rsid w:val="009B63D1"/>
    <w:rsid w:val="009B65A9"/>
    <w:rsid w:val="009B6EBD"/>
    <w:rsid w:val="009B7018"/>
    <w:rsid w:val="009B72C4"/>
    <w:rsid w:val="009C059F"/>
    <w:rsid w:val="009C112F"/>
    <w:rsid w:val="009C136E"/>
    <w:rsid w:val="009C1C50"/>
    <w:rsid w:val="009C1C61"/>
    <w:rsid w:val="009C1E7F"/>
    <w:rsid w:val="009C2050"/>
    <w:rsid w:val="009C209B"/>
    <w:rsid w:val="009C2717"/>
    <w:rsid w:val="009C2EED"/>
    <w:rsid w:val="009C310F"/>
    <w:rsid w:val="009C3124"/>
    <w:rsid w:val="009C344C"/>
    <w:rsid w:val="009C3C0A"/>
    <w:rsid w:val="009C3CC3"/>
    <w:rsid w:val="009C3D2B"/>
    <w:rsid w:val="009C451D"/>
    <w:rsid w:val="009C4702"/>
    <w:rsid w:val="009C4FFB"/>
    <w:rsid w:val="009C5098"/>
    <w:rsid w:val="009C5BE9"/>
    <w:rsid w:val="009C604D"/>
    <w:rsid w:val="009C64A0"/>
    <w:rsid w:val="009C65E5"/>
    <w:rsid w:val="009C68B9"/>
    <w:rsid w:val="009C6E58"/>
    <w:rsid w:val="009C7087"/>
    <w:rsid w:val="009C7183"/>
    <w:rsid w:val="009C76A7"/>
    <w:rsid w:val="009D08FA"/>
    <w:rsid w:val="009D09CC"/>
    <w:rsid w:val="009D0B90"/>
    <w:rsid w:val="009D0BE4"/>
    <w:rsid w:val="009D0DFD"/>
    <w:rsid w:val="009D1A36"/>
    <w:rsid w:val="009D1D09"/>
    <w:rsid w:val="009D1D8D"/>
    <w:rsid w:val="009D34B3"/>
    <w:rsid w:val="009D3867"/>
    <w:rsid w:val="009D3A58"/>
    <w:rsid w:val="009D4127"/>
    <w:rsid w:val="009D4951"/>
    <w:rsid w:val="009D5383"/>
    <w:rsid w:val="009D57E8"/>
    <w:rsid w:val="009D58D1"/>
    <w:rsid w:val="009D6191"/>
    <w:rsid w:val="009D6549"/>
    <w:rsid w:val="009D6A1B"/>
    <w:rsid w:val="009D7260"/>
    <w:rsid w:val="009E125E"/>
    <w:rsid w:val="009E152E"/>
    <w:rsid w:val="009E158F"/>
    <w:rsid w:val="009E191D"/>
    <w:rsid w:val="009E1E62"/>
    <w:rsid w:val="009E2259"/>
    <w:rsid w:val="009E2801"/>
    <w:rsid w:val="009E345E"/>
    <w:rsid w:val="009E3657"/>
    <w:rsid w:val="009E37FE"/>
    <w:rsid w:val="009E3B05"/>
    <w:rsid w:val="009E4460"/>
    <w:rsid w:val="009E469F"/>
    <w:rsid w:val="009E4D72"/>
    <w:rsid w:val="009E5111"/>
    <w:rsid w:val="009E519E"/>
    <w:rsid w:val="009E5A9E"/>
    <w:rsid w:val="009E5C3B"/>
    <w:rsid w:val="009E6453"/>
    <w:rsid w:val="009E67B0"/>
    <w:rsid w:val="009E68A9"/>
    <w:rsid w:val="009E6B2A"/>
    <w:rsid w:val="009E6D18"/>
    <w:rsid w:val="009E7078"/>
    <w:rsid w:val="009E7633"/>
    <w:rsid w:val="009E791F"/>
    <w:rsid w:val="009E7CB3"/>
    <w:rsid w:val="009E7E13"/>
    <w:rsid w:val="009F0292"/>
    <w:rsid w:val="009F0327"/>
    <w:rsid w:val="009F0663"/>
    <w:rsid w:val="009F0DB4"/>
    <w:rsid w:val="009F17E0"/>
    <w:rsid w:val="009F1C80"/>
    <w:rsid w:val="009F2347"/>
    <w:rsid w:val="009F249A"/>
    <w:rsid w:val="009F2E2C"/>
    <w:rsid w:val="009F2F76"/>
    <w:rsid w:val="009F39D5"/>
    <w:rsid w:val="009F435C"/>
    <w:rsid w:val="009F4505"/>
    <w:rsid w:val="009F478B"/>
    <w:rsid w:val="009F5A86"/>
    <w:rsid w:val="009F5BB1"/>
    <w:rsid w:val="009F5C66"/>
    <w:rsid w:val="009F5F22"/>
    <w:rsid w:val="009F6323"/>
    <w:rsid w:val="009F6369"/>
    <w:rsid w:val="009F6BC7"/>
    <w:rsid w:val="009F6DA7"/>
    <w:rsid w:val="009F6EC4"/>
    <w:rsid w:val="009F74D7"/>
    <w:rsid w:val="009F76D7"/>
    <w:rsid w:val="009F785D"/>
    <w:rsid w:val="009F7D09"/>
    <w:rsid w:val="00A00065"/>
    <w:rsid w:val="00A0015C"/>
    <w:rsid w:val="00A00341"/>
    <w:rsid w:val="00A0056F"/>
    <w:rsid w:val="00A00F9D"/>
    <w:rsid w:val="00A0121E"/>
    <w:rsid w:val="00A0130C"/>
    <w:rsid w:val="00A018C4"/>
    <w:rsid w:val="00A0199D"/>
    <w:rsid w:val="00A01AE3"/>
    <w:rsid w:val="00A02051"/>
    <w:rsid w:val="00A029B1"/>
    <w:rsid w:val="00A02CF0"/>
    <w:rsid w:val="00A02CF8"/>
    <w:rsid w:val="00A030AF"/>
    <w:rsid w:val="00A03A3D"/>
    <w:rsid w:val="00A04291"/>
    <w:rsid w:val="00A04B71"/>
    <w:rsid w:val="00A04BD4"/>
    <w:rsid w:val="00A04D25"/>
    <w:rsid w:val="00A04DA9"/>
    <w:rsid w:val="00A0534B"/>
    <w:rsid w:val="00A055E1"/>
    <w:rsid w:val="00A05DF1"/>
    <w:rsid w:val="00A05EC1"/>
    <w:rsid w:val="00A05F0D"/>
    <w:rsid w:val="00A06007"/>
    <w:rsid w:val="00A06EDA"/>
    <w:rsid w:val="00A0716D"/>
    <w:rsid w:val="00A072A5"/>
    <w:rsid w:val="00A074D2"/>
    <w:rsid w:val="00A07582"/>
    <w:rsid w:val="00A07B19"/>
    <w:rsid w:val="00A10401"/>
    <w:rsid w:val="00A104CE"/>
    <w:rsid w:val="00A1073E"/>
    <w:rsid w:val="00A107E6"/>
    <w:rsid w:val="00A10A7D"/>
    <w:rsid w:val="00A10BE9"/>
    <w:rsid w:val="00A1141B"/>
    <w:rsid w:val="00A11F13"/>
    <w:rsid w:val="00A123FF"/>
    <w:rsid w:val="00A12976"/>
    <w:rsid w:val="00A12CDE"/>
    <w:rsid w:val="00A12EC9"/>
    <w:rsid w:val="00A130D8"/>
    <w:rsid w:val="00A131A9"/>
    <w:rsid w:val="00A13FC3"/>
    <w:rsid w:val="00A14A38"/>
    <w:rsid w:val="00A14DEB"/>
    <w:rsid w:val="00A14E9C"/>
    <w:rsid w:val="00A1544D"/>
    <w:rsid w:val="00A16309"/>
    <w:rsid w:val="00A165FA"/>
    <w:rsid w:val="00A17043"/>
    <w:rsid w:val="00A1733F"/>
    <w:rsid w:val="00A17A13"/>
    <w:rsid w:val="00A17AD9"/>
    <w:rsid w:val="00A17C8D"/>
    <w:rsid w:val="00A2042A"/>
    <w:rsid w:val="00A20A68"/>
    <w:rsid w:val="00A20DEB"/>
    <w:rsid w:val="00A210B6"/>
    <w:rsid w:val="00A2143F"/>
    <w:rsid w:val="00A21440"/>
    <w:rsid w:val="00A21A5A"/>
    <w:rsid w:val="00A21D64"/>
    <w:rsid w:val="00A21E1B"/>
    <w:rsid w:val="00A22095"/>
    <w:rsid w:val="00A224A3"/>
    <w:rsid w:val="00A226AD"/>
    <w:rsid w:val="00A226E9"/>
    <w:rsid w:val="00A227AE"/>
    <w:rsid w:val="00A229B7"/>
    <w:rsid w:val="00A22D82"/>
    <w:rsid w:val="00A22F22"/>
    <w:rsid w:val="00A231E3"/>
    <w:rsid w:val="00A23CB9"/>
    <w:rsid w:val="00A241FF"/>
    <w:rsid w:val="00A24F6D"/>
    <w:rsid w:val="00A25E28"/>
    <w:rsid w:val="00A267AA"/>
    <w:rsid w:val="00A2739E"/>
    <w:rsid w:val="00A275F7"/>
    <w:rsid w:val="00A27786"/>
    <w:rsid w:val="00A27AD4"/>
    <w:rsid w:val="00A27F6F"/>
    <w:rsid w:val="00A3059E"/>
    <w:rsid w:val="00A305B8"/>
    <w:rsid w:val="00A3084E"/>
    <w:rsid w:val="00A30B6C"/>
    <w:rsid w:val="00A3144C"/>
    <w:rsid w:val="00A31AB3"/>
    <w:rsid w:val="00A31CAB"/>
    <w:rsid w:val="00A31E96"/>
    <w:rsid w:val="00A32020"/>
    <w:rsid w:val="00A32236"/>
    <w:rsid w:val="00A332A2"/>
    <w:rsid w:val="00A33718"/>
    <w:rsid w:val="00A345B8"/>
    <w:rsid w:val="00A3461D"/>
    <w:rsid w:val="00A348B9"/>
    <w:rsid w:val="00A34ACA"/>
    <w:rsid w:val="00A354AC"/>
    <w:rsid w:val="00A35D22"/>
    <w:rsid w:val="00A35D7E"/>
    <w:rsid w:val="00A36585"/>
    <w:rsid w:val="00A365E5"/>
    <w:rsid w:val="00A36759"/>
    <w:rsid w:val="00A36808"/>
    <w:rsid w:val="00A37021"/>
    <w:rsid w:val="00A374AB"/>
    <w:rsid w:val="00A3771C"/>
    <w:rsid w:val="00A37797"/>
    <w:rsid w:val="00A37BBD"/>
    <w:rsid w:val="00A37EDC"/>
    <w:rsid w:val="00A37F2A"/>
    <w:rsid w:val="00A4075A"/>
    <w:rsid w:val="00A40E2F"/>
    <w:rsid w:val="00A40E99"/>
    <w:rsid w:val="00A41097"/>
    <w:rsid w:val="00A4127D"/>
    <w:rsid w:val="00A4140D"/>
    <w:rsid w:val="00A415FA"/>
    <w:rsid w:val="00A41673"/>
    <w:rsid w:val="00A4199A"/>
    <w:rsid w:val="00A41A10"/>
    <w:rsid w:val="00A41A7C"/>
    <w:rsid w:val="00A41CAF"/>
    <w:rsid w:val="00A4207F"/>
    <w:rsid w:val="00A42B93"/>
    <w:rsid w:val="00A42C50"/>
    <w:rsid w:val="00A42F3E"/>
    <w:rsid w:val="00A43020"/>
    <w:rsid w:val="00A43477"/>
    <w:rsid w:val="00A4362A"/>
    <w:rsid w:val="00A439CD"/>
    <w:rsid w:val="00A43A54"/>
    <w:rsid w:val="00A440CB"/>
    <w:rsid w:val="00A44831"/>
    <w:rsid w:val="00A44FBA"/>
    <w:rsid w:val="00A45091"/>
    <w:rsid w:val="00A4563B"/>
    <w:rsid w:val="00A459BD"/>
    <w:rsid w:val="00A459C3"/>
    <w:rsid w:val="00A461FC"/>
    <w:rsid w:val="00A46537"/>
    <w:rsid w:val="00A465BE"/>
    <w:rsid w:val="00A46E50"/>
    <w:rsid w:val="00A472B7"/>
    <w:rsid w:val="00A474C7"/>
    <w:rsid w:val="00A47F1F"/>
    <w:rsid w:val="00A50627"/>
    <w:rsid w:val="00A506F1"/>
    <w:rsid w:val="00A507BD"/>
    <w:rsid w:val="00A509C7"/>
    <w:rsid w:val="00A51248"/>
    <w:rsid w:val="00A51601"/>
    <w:rsid w:val="00A5175E"/>
    <w:rsid w:val="00A51986"/>
    <w:rsid w:val="00A51C72"/>
    <w:rsid w:val="00A52169"/>
    <w:rsid w:val="00A522DF"/>
    <w:rsid w:val="00A527F1"/>
    <w:rsid w:val="00A529DC"/>
    <w:rsid w:val="00A52A49"/>
    <w:rsid w:val="00A52E0F"/>
    <w:rsid w:val="00A530BD"/>
    <w:rsid w:val="00A5329E"/>
    <w:rsid w:val="00A532BE"/>
    <w:rsid w:val="00A53560"/>
    <w:rsid w:val="00A538A5"/>
    <w:rsid w:val="00A53C1C"/>
    <w:rsid w:val="00A5410A"/>
    <w:rsid w:val="00A54461"/>
    <w:rsid w:val="00A553A5"/>
    <w:rsid w:val="00A55A38"/>
    <w:rsid w:val="00A55BEB"/>
    <w:rsid w:val="00A562F7"/>
    <w:rsid w:val="00A5645E"/>
    <w:rsid w:val="00A567CF"/>
    <w:rsid w:val="00A56FD8"/>
    <w:rsid w:val="00A573C0"/>
    <w:rsid w:val="00A573EF"/>
    <w:rsid w:val="00A577A2"/>
    <w:rsid w:val="00A57CB2"/>
    <w:rsid w:val="00A60339"/>
    <w:rsid w:val="00A60A37"/>
    <w:rsid w:val="00A610F8"/>
    <w:rsid w:val="00A615B9"/>
    <w:rsid w:val="00A62123"/>
    <w:rsid w:val="00A631C9"/>
    <w:rsid w:val="00A63BA6"/>
    <w:rsid w:val="00A63F89"/>
    <w:rsid w:val="00A641D8"/>
    <w:rsid w:val="00A64216"/>
    <w:rsid w:val="00A64291"/>
    <w:rsid w:val="00A646F5"/>
    <w:rsid w:val="00A64BEE"/>
    <w:rsid w:val="00A64DA6"/>
    <w:rsid w:val="00A6505A"/>
    <w:rsid w:val="00A652FF"/>
    <w:rsid w:val="00A65655"/>
    <w:rsid w:val="00A65877"/>
    <w:rsid w:val="00A65B17"/>
    <w:rsid w:val="00A6644E"/>
    <w:rsid w:val="00A66582"/>
    <w:rsid w:val="00A66C67"/>
    <w:rsid w:val="00A66F0C"/>
    <w:rsid w:val="00A67468"/>
    <w:rsid w:val="00A67516"/>
    <w:rsid w:val="00A67656"/>
    <w:rsid w:val="00A6784B"/>
    <w:rsid w:val="00A678C7"/>
    <w:rsid w:val="00A67D36"/>
    <w:rsid w:val="00A67ECA"/>
    <w:rsid w:val="00A70358"/>
    <w:rsid w:val="00A7042E"/>
    <w:rsid w:val="00A70DAF"/>
    <w:rsid w:val="00A71129"/>
    <w:rsid w:val="00A714F9"/>
    <w:rsid w:val="00A719B5"/>
    <w:rsid w:val="00A719DB"/>
    <w:rsid w:val="00A71DB0"/>
    <w:rsid w:val="00A72B0C"/>
    <w:rsid w:val="00A72E94"/>
    <w:rsid w:val="00A73536"/>
    <w:rsid w:val="00A73556"/>
    <w:rsid w:val="00A73C14"/>
    <w:rsid w:val="00A7417D"/>
    <w:rsid w:val="00A747D5"/>
    <w:rsid w:val="00A74C0B"/>
    <w:rsid w:val="00A7512D"/>
    <w:rsid w:val="00A756A2"/>
    <w:rsid w:val="00A75E28"/>
    <w:rsid w:val="00A75E53"/>
    <w:rsid w:val="00A762C1"/>
    <w:rsid w:val="00A76327"/>
    <w:rsid w:val="00A77077"/>
    <w:rsid w:val="00A77B3B"/>
    <w:rsid w:val="00A77BB7"/>
    <w:rsid w:val="00A80251"/>
    <w:rsid w:val="00A802A1"/>
    <w:rsid w:val="00A8094A"/>
    <w:rsid w:val="00A80D3E"/>
    <w:rsid w:val="00A81032"/>
    <w:rsid w:val="00A813F3"/>
    <w:rsid w:val="00A8175B"/>
    <w:rsid w:val="00A8199D"/>
    <w:rsid w:val="00A81BC2"/>
    <w:rsid w:val="00A8274E"/>
    <w:rsid w:val="00A8289E"/>
    <w:rsid w:val="00A82BFA"/>
    <w:rsid w:val="00A82DEE"/>
    <w:rsid w:val="00A833C7"/>
    <w:rsid w:val="00A8355E"/>
    <w:rsid w:val="00A83663"/>
    <w:rsid w:val="00A840F9"/>
    <w:rsid w:val="00A84A9C"/>
    <w:rsid w:val="00A84D22"/>
    <w:rsid w:val="00A84F22"/>
    <w:rsid w:val="00A853BC"/>
    <w:rsid w:val="00A854CA"/>
    <w:rsid w:val="00A8578F"/>
    <w:rsid w:val="00A859AD"/>
    <w:rsid w:val="00A85A18"/>
    <w:rsid w:val="00A8635A"/>
    <w:rsid w:val="00A87274"/>
    <w:rsid w:val="00A902CC"/>
    <w:rsid w:val="00A90340"/>
    <w:rsid w:val="00A90355"/>
    <w:rsid w:val="00A903A0"/>
    <w:rsid w:val="00A906E3"/>
    <w:rsid w:val="00A90992"/>
    <w:rsid w:val="00A90AC4"/>
    <w:rsid w:val="00A90C85"/>
    <w:rsid w:val="00A90E18"/>
    <w:rsid w:val="00A9152D"/>
    <w:rsid w:val="00A91A62"/>
    <w:rsid w:val="00A91BD3"/>
    <w:rsid w:val="00A91EC0"/>
    <w:rsid w:val="00A91F82"/>
    <w:rsid w:val="00A92055"/>
    <w:rsid w:val="00A928C3"/>
    <w:rsid w:val="00A92F95"/>
    <w:rsid w:val="00A947B6"/>
    <w:rsid w:val="00A94AE7"/>
    <w:rsid w:val="00A94B01"/>
    <w:rsid w:val="00A94DF7"/>
    <w:rsid w:val="00A95214"/>
    <w:rsid w:val="00A95707"/>
    <w:rsid w:val="00A9580E"/>
    <w:rsid w:val="00A95AAB"/>
    <w:rsid w:val="00A95E59"/>
    <w:rsid w:val="00A9658D"/>
    <w:rsid w:val="00A96D6A"/>
    <w:rsid w:val="00A97168"/>
    <w:rsid w:val="00A97280"/>
    <w:rsid w:val="00A97817"/>
    <w:rsid w:val="00A97EA3"/>
    <w:rsid w:val="00AA057B"/>
    <w:rsid w:val="00AA07B0"/>
    <w:rsid w:val="00AA0D05"/>
    <w:rsid w:val="00AA13B6"/>
    <w:rsid w:val="00AA1484"/>
    <w:rsid w:val="00AA164B"/>
    <w:rsid w:val="00AA1DCE"/>
    <w:rsid w:val="00AA1DE0"/>
    <w:rsid w:val="00AA2584"/>
    <w:rsid w:val="00AA29E1"/>
    <w:rsid w:val="00AA2B7A"/>
    <w:rsid w:val="00AA35D7"/>
    <w:rsid w:val="00AA395B"/>
    <w:rsid w:val="00AA3B80"/>
    <w:rsid w:val="00AA3F62"/>
    <w:rsid w:val="00AA4524"/>
    <w:rsid w:val="00AA466A"/>
    <w:rsid w:val="00AA4A0F"/>
    <w:rsid w:val="00AA4D93"/>
    <w:rsid w:val="00AA4F0A"/>
    <w:rsid w:val="00AA553A"/>
    <w:rsid w:val="00AA5546"/>
    <w:rsid w:val="00AA6230"/>
    <w:rsid w:val="00AA7AFD"/>
    <w:rsid w:val="00AB0107"/>
    <w:rsid w:val="00AB0A3D"/>
    <w:rsid w:val="00AB0FCB"/>
    <w:rsid w:val="00AB15E0"/>
    <w:rsid w:val="00AB17E9"/>
    <w:rsid w:val="00AB248C"/>
    <w:rsid w:val="00AB294D"/>
    <w:rsid w:val="00AB3556"/>
    <w:rsid w:val="00AB38AF"/>
    <w:rsid w:val="00AB3FEF"/>
    <w:rsid w:val="00AB4075"/>
    <w:rsid w:val="00AB450A"/>
    <w:rsid w:val="00AB4606"/>
    <w:rsid w:val="00AB4840"/>
    <w:rsid w:val="00AB4A07"/>
    <w:rsid w:val="00AB55D7"/>
    <w:rsid w:val="00AB5F5C"/>
    <w:rsid w:val="00AB5FC9"/>
    <w:rsid w:val="00AB694A"/>
    <w:rsid w:val="00AB6E8C"/>
    <w:rsid w:val="00AB779B"/>
    <w:rsid w:val="00AB7AAB"/>
    <w:rsid w:val="00AB7D03"/>
    <w:rsid w:val="00AC04EB"/>
    <w:rsid w:val="00AC07EE"/>
    <w:rsid w:val="00AC09F7"/>
    <w:rsid w:val="00AC0B04"/>
    <w:rsid w:val="00AC1B64"/>
    <w:rsid w:val="00AC1E34"/>
    <w:rsid w:val="00AC2E52"/>
    <w:rsid w:val="00AC2E8F"/>
    <w:rsid w:val="00AC3466"/>
    <w:rsid w:val="00AC3BD3"/>
    <w:rsid w:val="00AC4791"/>
    <w:rsid w:val="00AC4AA2"/>
    <w:rsid w:val="00AC4FDC"/>
    <w:rsid w:val="00AC55D6"/>
    <w:rsid w:val="00AC6817"/>
    <w:rsid w:val="00AC6DD5"/>
    <w:rsid w:val="00AC75D2"/>
    <w:rsid w:val="00AC781E"/>
    <w:rsid w:val="00AD06C7"/>
    <w:rsid w:val="00AD08B7"/>
    <w:rsid w:val="00AD0A12"/>
    <w:rsid w:val="00AD0A2B"/>
    <w:rsid w:val="00AD0A7A"/>
    <w:rsid w:val="00AD0F49"/>
    <w:rsid w:val="00AD0F59"/>
    <w:rsid w:val="00AD1EDC"/>
    <w:rsid w:val="00AD222F"/>
    <w:rsid w:val="00AD23B8"/>
    <w:rsid w:val="00AD23FF"/>
    <w:rsid w:val="00AD28A2"/>
    <w:rsid w:val="00AD29B2"/>
    <w:rsid w:val="00AD2E59"/>
    <w:rsid w:val="00AD3182"/>
    <w:rsid w:val="00AD3632"/>
    <w:rsid w:val="00AD3B41"/>
    <w:rsid w:val="00AD41B1"/>
    <w:rsid w:val="00AD47FE"/>
    <w:rsid w:val="00AD4C01"/>
    <w:rsid w:val="00AD556F"/>
    <w:rsid w:val="00AD6858"/>
    <w:rsid w:val="00AD6EEE"/>
    <w:rsid w:val="00AD6F7A"/>
    <w:rsid w:val="00AD6FB5"/>
    <w:rsid w:val="00AD752F"/>
    <w:rsid w:val="00AD7913"/>
    <w:rsid w:val="00AD7A29"/>
    <w:rsid w:val="00AD7BC9"/>
    <w:rsid w:val="00AE03BA"/>
    <w:rsid w:val="00AE0AD2"/>
    <w:rsid w:val="00AE168A"/>
    <w:rsid w:val="00AE18E9"/>
    <w:rsid w:val="00AE1D3F"/>
    <w:rsid w:val="00AE1E2C"/>
    <w:rsid w:val="00AE1E40"/>
    <w:rsid w:val="00AE21C1"/>
    <w:rsid w:val="00AE2B18"/>
    <w:rsid w:val="00AE2EA1"/>
    <w:rsid w:val="00AE36EE"/>
    <w:rsid w:val="00AE3B8C"/>
    <w:rsid w:val="00AE49F7"/>
    <w:rsid w:val="00AE4A19"/>
    <w:rsid w:val="00AE4CFC"/>
    <w:rsid w:val="00AE4DEC"/>
    <w:rsid w:val="00AE4E7C"/>
    <w:rsid w:val="00AE57B0"/>
    <w:rsid w:val="00AE58B0"/>
    <w:rsid w:val="00AE64F5"/>
    <w:rsid w:val="00AE6B98"/>
    <w:rsid w:val="00AE70A6"/>
    <w:rsid w:val="00AE70E9"/>
    <w:rsid w:val="00AE7165"/>
    <w:rsid w:val="00AE7A3C"/>
    <w:rsid w:val="00AF00CC"/>
    <w:rsid w:val="00AF0166"/>
    <w:rsid w:val="00AF0A3D"/>
    <w:rsid w:val="00AF0F19"/>
    <w:rsid w:val="00AF1362"/>
    <w:rsid w:val="00AF16E2"/>
    <w:rsid w:val="00AF1978"/>
    <w:rsid w:val="00AF1A25"/>
    <w:rsid w:val="00AF1CF7"/>
    <w:rsid w:val="00AF219B"/>
    <w:rsid w:val="00AF2387"/>
    <w:rsid w:val="00AF257F"/>
    <w:rsid w:val="00AF2C07"/>
    <w:rsid w:val="00AF3AED"/>
    <w:rsid w:val="00AF3EA7"/>
    <w:rsid w:val="00AF4380"/>
    <w:rsid w:val="00AF4537"/>
    <w:rsid w:val="00AF4E11"/>
    <w:rsid w:val="00AF5224"/>
    <w:rsid w:val="00AF5838"/>
    <w:rsid w:val="00AF5980"/>
    <w:rsid w:val="00AF59D6"/>
    <w:rsid w:val="00AF5C07"/>
    <w:rsid w:val="00AF5F31"/>
    <w:rsid w:val="00AF6145"/>
    <w:rsid w:val="00AF636A"/>
    <w:rsid w:val="00AF63E3"/>
    <w:rsid w:val="00AF6458"/>
    <w:rsid w:val="00AF66FF"/>
    <w:rsid w:val="00AF6D20"/>
    <w:rsid w:val="00AF6F7B"/>
    <w:rsid w:val="00AF6FC8"/>
    <w:rsid w:val="00AF706C"/>
    <w:rsid w:val="00AF7673"/>
    <w:rsid w:val="00B0086A"/>
    <w:rsid w:val="00B0094B"/>
    <w:rsid w:val="00B00B24"/>
    <w:rsid w:val="00B00B4B"/>
    <w:rsid w:val="00B0171A"/>
    <w:rsid w:val="00B0177C"/>
    <w:rsid w:val="00B01A85"/>
    <w:rsid w:val="00B01BEA"/>
    <w:rsid w:val="00B02615"/>
    <w:rsid w:val="00B02E0B"/>
    <w:rsid w:val="00B0314B"/>
    <w:rsid w:val="00B03587"/>
    <w:rsid w:val="00B03802"/>
    <w:rsid w:val="00B03984"/>
    <w:rsid w:val="00B03BDF"/>
    <w:rsid w:val="00B03E2E"/>
    <w:rsid w:val="00B04048"/>
    <w:rsid w:val="00B04215"/>
    <w:rsid w:val="00B044A4"/>
    <w:rsid w:val="00B04671"/>
    <w:rsid w:val="00B04764"/>
    <w:rsid w:val="00B04785"/>
    <w:rsid w:val="00B047AE"/>
    <w:rsid w:val="00B04B66"/>
    <w:rsid w:val="00B05202"/>
    <w:rsid w:val="00B057B3"/>
    <w:rsid w:val="00B0647E"/>
    <w:rsid w:val="00B06A89"/>
    <w:rsid w:val="00B06CA9"/>
    <w:rsid w:val="00B07194"/>
    <w:rsid w:val="00B07208"/>
    <w:rsid w:val="00B073B0"/>
    <w:rsid w:val="00B07E45"/>
    <w:rsid w:val="00B10195"/>
    <w:rsid w:val="00B10D82"/>
    <w:rsid w:val="00B110F9"/>
    <w:rsid w:val="00B11A45"/>
    <w:rsid w:val="00B11A59"/>
    <w:rsid w:val="00B11D75"/>
    <w:rsid w:val="00B13AF5"/>
    <w:rsid w:val="00B14622"/>
    <w:rsid w:val="00B14E73"/>
    <w:rsid w:val="00B1520F"/>
    <w:rsid w:val="00B155B9"/>
    <w:rsid w:val="00B16227"/>
    <w:rsid w:val="00B16321"/>
    <w:rsid w:val="00B16AEB"/>
    <w:rsid w:val="00B1724C"/>
    <w:rsid w:val="00B1745E"/>
    <w:rsid w:val="00B174A3"/>
    <w:rsid w:val="00B179E4"/>
    <w:rsid w:val="00B17F04"/>
    <w:rsid w:val="00B2052A"/>
    <w:rsid w:val="00B20782"/>
    <w:rsid w:val="00B207BE"/>
    <w:rsid w:val="00B208F7"/>
    <w:rsid w:val="00B20E84"/>
    <w:rsid w:val="00B22CDE"/>
    <w:rsid w:val="00B230E9"/>
    <w:rsid w:val="00B230ED"/>
    <w:rsid w:val="00B23D5A"/>
    <w:rsid w:val="00B23E56"/>
    <w:rsid w:val="00B242B9"/>
    <w:rsid w:val="00B24496"/>
    <w:rsid w:val="00B24AE8"/>
    <w:rsid w:val="00B24EA1"/>
    <w:rsid w:val="00B25CA9"/>
    <w:rsid w:val="00B26302"/>
    <w:rsid w:val="00B266AD"/>
    <w:rsid w:val="00B2707D"/>
    <w:rsid w:val="00B27100"/>
    <w:rsid w:val="00B2715E"/>
    <w:rsid w:val="00B27582"/>
    <w:rsid w:val="00B27F72"/>
    <w:rsid w:val="00B30093"/>
    <w:rsid w:val="00B30168"/>
    <w:rsid w:val="00B305CE"/>
    <w:rsid w:val="00B305E0"/>
    <w:rsid w:val="00B30C74"/>
    <w:rsid w:val="00B30E1E"/>
    <w:rsid w:val="00B30ED7"/>
    <w:rsid w:val="00B311B6"/>
    <w:rsid w:val="00B311F4"/>
    <w:rsid w:val="00B31653"/>
    <w:rsid w:val="00B31BC1"/>
    <w:rsid w:val="00B32078"/>
    <w:rsid w:val="00B321B3"/>
    <w:rsid w:val="00B32A4C"/>
    <w:rsid w:val="00B32B7F"/>
    <w:rsid w:val="00B33133"/>
    <w:rsid w:val="00B33722"/>
    <w:rsid w:val="00B339A2"/>
    <w:rsid w:val="00B343E6"/>
    <w:rsid w:val="00B345F2"/>
    <w:rsid w:val="00B34894"/>
    <w:rsid w:val="00B34902"/>
    <w:rsid w:val="00B351AF"/>
    <w:rsid w:val="00B351E5"/>
    <w:rsid w:val="00B35688"/>
    <w:rsid w:val="00B35948"/>
    <w:rsid w:val="00B359B4"/>
    <w:rsid w:val="00B363D3"/>
    <w:rsid w:val="00B36C11"/>
    <w:rsid w:val="00B36E52"/>
    <w:rsid w:val="00B36F25"/>
    <w:rsid w:val="00B3709A"/>
    <w:rsid w:val="00B37372"/>
    <w:rsid w:val="00B378E1"/>
    <w:rsid w:val="00B37B1B"/>
    <w:rsid w:val="00B37BAD"/>
    <w:rsid w:val="00B37BD9"/>
    <w:rsid w:val="00B4019C"/>
    <w:rsid w:val="00B40B24"/>
    <w:rsid w:val="00B41254"/>
    <w:rsid w:val="00B4125D"/>
    <w:rsid w:val="00B41412"/>
    <w:rsid w:val="00B41B5C"/>
    <w:rsid w:val="00B4200A"/>
    <w:rsid w:val="00B42696"/>
    <w:rsid w:val="00B427DE"/>
    <w:rsid w:val="00B43007"/>
    <w:rsid w:val="00B43190"/>
    <w:rsid w:val="00B43BE0"/>
    <w:rsid w:val="00B44F0C"/>
    <w:rsid w:val="00B44FA6"/>
    <w:rsid w:val="00B450E0"/>
    <w:rsid w:val="00B45483"/>
    <w:rsid w:val="00B45539"/>
    <w:rsid w:val="00B45AFD"/>
    <w:rsid w:val="00B46DEA"/>
    <w:rsid w:val="00B46E6A"/>
    <w:rsid w:val="00B472B7"/>
    <w:rsid w:val="00B47592"/>
    <w:rsid w:val="00B47957"/>
    <w:rsid w:val="00B479FE"/>
    <w:rsid w:val="00B47DA0"/>
    <w:rsid w:val="00B47F76"/>
    <w:rsid w:val="00B500C5"/>
    <w:rsid w:val="00B501CD"/>
    <w:rsid w:val="00B50405"/>
    <w:rsid w:val="00B51105"/>
    <w:rsid w:val="00B51317"/>
    <w:rsid w:val="00B51526"/>
    <w:rsid w:val="00B51931"/>
    <w:rsid w:val="00B519CA"/>
    <w:rsid w:val="00B51A64"/>
    <w:rsid w:val="00B51B19"/>
    <w:rsid w:val="00B51B2D"/>
    <w:rsid w:val="00B51F0A"/>
    <w:rsid w:val="00B52290"/>
    <w:rsid w:val="00B522E4"/>
    <w:rsid w:val="00B534A2"/>
    <w:rsid w:val="00B53772"/>
    <w:rsid w:val="00B53F40"/>
    <w:rsid w:val="00B543DA"/>
    <w:rsid w:val="00B54F7E"/>
    <w:rsid w:val="00B54FF2"/>
    <w:rsid w:val="00B5549D"/>
    <w:rsid w:val="00B55761"/>
    <w:rsid w:val="00B55838"/>
    <w:rsid w:val="00B55A69"/>
    <w:rsid w:val="00B55AAF"/>
    <w:rsid w:val="00B55DFB"/>
    <w:rsid w:val="00B55E7A"/>
    <w:rsid w:val="00B560F7"/>
    <w:rsid w:val="00B568F3"/>
    <w:rsid w:val="00B56CF8"/>
    <w:rsid w:val="00B57024"/>
    <w:rsid w:val="00B60187"/>
    <w:rsid w:val="00B60462"/>
    <w:rsid w:val="00B606AA"/>
    <w:rsid w:val="00B60943"/>
    <w:rsid w:val="00B60B0E"/>
    <w:rsid w:val="00B60B34"/>
    <w:rsid w:val="00B6153F"/>
    <w:rsid w:val="00B62EA5"/>
    <w:rsid w:val="00B62F4B"/>
    <w:rsid w:val="00B6464E"/>
    <w:rsid w:val="00B64AF2"/>
    <w:rsid w:val="00B64C4D"/>
    <w:rsid w:val="00B64FB5"/>
    <w:rsid w:val="00B65163"/>
    <w:rsid w:val="00B65692"/>
    <w:rsid w:val="00B65E9B"/>
    <w:rsid w:val="00B65FA7"/>
    <w:rsid w:val="00B66166"/>
    <w:rsid w:val="00B66574"/>
    <w:rsid w:val="00B67410"/>
    <w:rsid w:val="00B6775F"/>
    <w:rsid w:val="00B677DC"/>
    <w:rsid w:val="00B679CB"/>
    <w:rsid w:val="00B67BA8"/>
    <w:rsid w:val="00B67DED"/>
    <w:rsid w:val="00B705FD"/>
    <w:rsid w:val="00B70DE3"/>
    <w:rsid w:val="00B71664"/>
    <w:rsid w:val="00B71836"/>
    <w:rsid w:val="00B71993"/>
    <w:rsid w:val="00B71B7E"/>
    <w:rsid w:val="00B722F4"/>
    <w:rsid w:val="00B72431"/>
    <w:rsid w:val="00B73253"/>
    <w:rsid w:val="00B7335A"/>
    <w:rsid w:val="00B733AA"/>
    <w:rsid w:val="00B7341E"/>
    <w:rsid w:val="00B73C54"/>
    <w:rsid w:val="00B74866"/>
    <w:rsid w:val="00B74956"/>
    <w:rsid w:val="00B74D23"/>
    <w:rsid w:val="00B74E6F"/>
    <w:rsid w:val="00B75944"/>
    <w:rsid w:val="00B75CB3"/>
    <w:rsid w:val="00B75EAF"/>
    <w:rsid w:val="00B769A5"/>
    <w:rsid w:val="00B769E5"/>
    <w:rsid w:val="00B77A86"/>
    <w:rsid w:val="00B77F53"/>
    <w:rsid w:val="00B8146E"/>
    <w:rsid w:val="00B82560"/>
    <w:rsid w:val="00B82DD0"/>
    <w:rsid w:val="00B835AE"/>
    <w:rsid w:val="00B83869"/>
    <w:rsid w:val="00B83B02"/>
    <w:rsid w:val="00B83EC6"/>
    <w:rsid w:val="00B84171"/>
    <w:rsid w:val="00B84610"/>
    <w:rsid w:val="00B84A18"/>
    <w:rsid w:val="00B84E4B"/>
    <w:rsid w:val="00B85619"/>
    <w:rsid w:val="00B8578C"/>
    <w:rsid w:val="00B8590C"/>
    <w:rsid w:val="00B85FC0"/>
    <w:rsid w:val="00B86411"/>
    <w:rsid w:val="00B86C93"/>
    <w:rsid w:val="00B871E5"/>
    <w:rsid w:val="00B877CF"/>
    <w:rsid w:val="00B87DF8"/>
    <w:rsid w:val="00B902CC"/>
    <w:rsid w:val="00B904C6"/>
    <w:rsid w:val="00B90670"/>
    <w:rsid w:val="00B90FFB"/>
    <w:rsid w:val="00B9199C"/>
    <w:rsid w:val="00B91C92"/>
    <w:rsid w:val="00B92202"/>
    <w:rsid w:val="00B922BB"/>
    <w:rsid w:val="00B923F2"/>
    <w:rsid w:val="00B925A4"/>
    <w:rsid w:val="00B929AB"/>
    <w:rsid w:val="00B929B4"/>
    <w:rsid w:val="00B93063"/>
    <w:rsid w:val="00B9403F"/>
    <w:rsid w:val="00B9506C"/>
    <w:rsid w:val="00B9517C"/>
    <w:rsid w:val="00B952F4"/>
    <w:rsid w:val="00B9554C"/>
    <w:rsid w:val="00B95D4D"/>
    <w:rsid w:val="00B95D72"/>
    <w:rsid w:val="00B95EAA"/>
    <w:rsid w:val="00B95F3C"/>
    <w:rsid w:val="00B967E0"/>
    <w:rsid w:val="00B97286"/>
    <w:rsid w:val="00B9790B"/>
    <w:rsid w:val="00B97AEC"/>
    <w:rsid w:val="00B97DF8"/>
    <w:rsid w:val="00B97FC8"/>
    <w:rsid w:val="00BA047A"/>
    <w:rsid w:val="00BA04E2"/>
    <w:rsid w:val="00BA0974"/>
    <w:rsid w:val="00BA09C2"/>
    <w:rsid w:val="00BA0A81"/>
    <w:rsid w:val="00BA0DA5"/>
    <w:rsid w:val="00BA11A5"/>
    <w:rsid w:val="00BA1343"/>
    <w:rsid w:val="00BA31DA"/>
    <w:rsid w:val="00BA3328"/>
    <w:rsid w:val="00BA3374"/>
    <w:rsid w:val="00BA4156"/>
    <w:rsid w:val="00BA4833"/>
    <w:rsid w:val="00BA4E83"/>
    <w:rsid w:val="00BA5790"/>
    <w:rsid w:val="00BA588C"/>
    <w:rsid w:val="00BA5ED1"/>
    <w:rsid w:val="00BA6505"/>
    <w:rsid w:val="00BA6B80"/>
    <w:rsid w:val="00BA70F6"/>
    <w:rsid w:val="00BA78BD"/>
    <w:rsid w:val="00BA78E9"/>
    <w:rsid w:val="00BA7901"/>
    <w:rsid w:val="00BA7A3D"/>
    <w:rsid w:val="00BB00A2"/>
    <w:rsid w:val="00BB0735"/>
    <w:rsid w:val="00BB0B68"/>
    <w:rsid w:val="00BB0E38"/>
    <w:rsid w:val="00BB1CB0"/>
    <w:rsid w:val="00BB1D6A"/>
    <w:rsid w:val="00BB1FCD"/>
    <w:rsid w:val="00BB21DF"/>
    <w:rsid w:val="00BB246C"/>
    <w:rsid w:val="00BB319E"/>
    <w:rsid w:val="00BB34ED"/>
    <w:rsid w:val="00BB398C"/>
    <w:rsid w:val="00BB39FB"/>
    <w:rsid w:val="00BB3AEF"/>
    <w:rsid w:val="00BB3E55"/>
    <w:rsid w:val="00BB3FE6"/>
    <w:rsid w:val="00BB4610"/>
    <w:rsid w:val="00BB46CD"/>
    <w:rsid w:val="00BB48FF"/>
    <w:rsid w:val="00BB496E"/>
    <w:rsid w:val="00BB49DD"/>
    <w:rsid w:val="00BB5451"/>
    <w:rsid w:val="00BB58EF"/>
    <w:rsid w:val="00BB5B9F"/>
    <w:rsid w:val="00BB706F"/>
    <w:rsid w:val="00BB7117"/>
    <w:rsid w:val="00BB73B0"/>
    <w:rsid w:val="00BC08AA"/>
    <w:rsid w:val="00BC0971"/>
    <w:rsid w:val="00BC0C93"/>
    <w:rsid w:val="00BC0CF4"/>
    <w:rsid w:val="00BC0DCF"/>
    <w:rsid w:val="00BC12CD"/>
    <w:rsid w:val="00BC1606"/>
    <w:rsid w:val="00BC1687"/>
    <w:rsid w:val="00BC17C3"/>
    <w:rsid w:val="00BC1ED2"/>
    <w:rsid w:val="00BC2417"/>
    <w:rsid w:val="00BC288C"/>
    <w:rsid w:val="00BC30AB"/>
    <w:rsid w:val="00BC32E1"/>
    <w:rsid w:val="00BC36FD"/>
    <w:rsid w:val="00BC3993"/>
    <w:rsid w:val="00BC3A15"/>
    <w:rsid w:val="00BC3B60"/>
    <w:rsid w:val="00BC3DFF"/>
    <w:rsid w:val="00BC4000"/>
    <w:rsid w:val="00BC4350"/>
    <w:rsid w:val="00BC481B"/>
    <w:rsid w:val="00BC483C"/>
    <w:rsid w:val="00BC49AC"/>
    <w:rsid w:val="00BC4E1E"/>
    <w:rsid w:val="00BC5370"/>
    <w:rsid w:val="00BC5AAD"/>
    <w:rsid w:val="00BC5AE3"/>
    <w:rsid w:val="00BC681B"/>
    <w:rsid w:val="00BC6EB9"/>
    <w:rsid w:val="00BC7125"/>
    <w:rsid w:val="00BC7546"/>
    <w:rsid w:val="00BC7627"/>
    <w:rsid w:val="00BC793C"/>
    <w:rsid w:val="00BC7A98"/>
    <w:rsid w:val="00BC7D16"/>
    <w:rsid w:val="00BD02A2"/>
    <w:rsid w:val="00BD04CC"/>
    <w:rsid w:val="00BD142B"/>
    <w:rsid w:val="00BD2198"/>
    <w:rsid w:val="00BD2875"/>
    <w:rsid w:val="00BD2CD4"/>
    <w:rsid w:val="00BD2E3F"/>
    <w:rsid w:val="00BD3344"/>
    <w:rsid w:val="00BD3400"/>
    <w:rsid w:val="00BD35DA"/>
    <w:rsid w:val="00BD3A3A"/>
    <w:rsid w:val="00BD3BF0"/>
    <w:rsid w:val="00BD3F05"/>
    <w:rsid w:val="00BD477A"/>
    <w:rsid w:val="00BD52AA"/>
    <w:rsid w:val="00BD5531"/>
    <w:rsid w:val="00BD56D4"/>
    <w:rsid w:val="00BD56F7"/>
    <w:rsid w:val="00BD59C5"/>
    <w:rsid w:val="00BD6821"/>
    <w:rsid w:val="00BD6B2C"/>
    <w:rsid w:val="00BE1DDE"/>
    <w:rsid w:val="00BE212A"/>
    <w:rsid w:val="00BE22F8"/>
    <w:rsid w:val="00BE242A"/>
    <w:rsid w:val="00BE24C2"/>
    <w:rsid w:val="00BE25B3"/>
    <w:rsid w:val="00BE2870"/>
    <w:rsid w:val="00BE3517"/>
    <w:rsid w:val="00BE36BC"/>
    <w:rsid w:val="00BE3763"/>
    <w:rsid w:val="00BE3800"/>
    <w:rsid w:val="00BE3EE2"/>
    <w:rsid w:val="00BE42B8"/>
    <w:rsid w:val="00BE4C4C"/>
    <w:rsid w:val="00BE4E3E"/>
    <w:rsid w:val="00BE5072"/>
    <w:rsid w:val="00BE5104"/>
    <w:rsid w:val="00BE5406"/>
    <w:rsid w:val="00BE5644"/>
    <w:rsid w:val="00BE5881"/>
    <w:rsid w:val="00BE650F"/>
    <w:rsid w:val="00BE7304"/>
    <w:rsid w:val="00BF0115"/>
    <w:rsid w:val="00BF02C5"/>
    <w:rsid w:val="00BF055C"/>
    <w:rsid w:val="00BF0BF6"/>
    <w:rsid w:val="00BF14F1"/>
    <w:rsid w:val="00BF161E"/>
    <w:rsid w:val="00BF20CF"/>
    <w:rsid w:val="00BF2FC2"/>
    <w:rsid w:val="00BF374E"/>
    <w:rsid w:val="00BF39A5"/>
    <w:rsid w:val="00BF3DF9"/>
    <w:rsid w:val="00BF3FAA"/>
    <w:rsid w:val="00BF4430"/>
    <w:rsid w:val="00BF4502"/>
    <w:rsid w:val="00BF4F1C"/>
    <w:rsid w:val="00BF4F71"/>
    <w:rsid w:val="00BF5212"/>
    <w:rsid w:val="00BF5552"/>
    <w:rsid w:val="00BF6447"/>
    <w:rsid w:val="00BF6C5F"/>
    <w:rsid w:val="00BF6F6F"/>
    <w:rsid w:val="00BF72E1"/>
    <w:rsid w:val="00BF76DC"/>
    <w:rsid w:val="00BF7EAF"/>
    <w:rsid w:val="00C00282"/>
    <w:rsid w:val="00C0095E"/>
    <w:rsid w:val="00C00C55"/>
    <w:rsid w:val="00C011AE"/>
    <w:rsid w:val="00C018DF"/>
    <w:rsid w:val="00C01950"/>
    <w:rsid w:val="00C02C0C"/>
    <w:rsid w:val="00C035E9"/>
    <w:rsid w:val="00C03A17"/>
    <w:rsid w:val="00C0428E"/>
    <w:rsid w:val="00C04512"/>
    <w:rsid w:val="00C0459F"/>
    <w:rsid w:val="00C049D1"/>
    <w:rsid w:val="00C04FC0"/>
    <w:rsid w:val="00C0544F"/>
    <w:rsid w:val="00C0589E"/>
    <w:rsid w:val="00C05AA3"/>
    <w:rsid w:val="00C05FDA"/>
    <w:rsid w:val="00C068E1"/>
    <w:rsid w:val="00C0690D"/>
    <w:rsid w:val="00C06AA3"/>
    <w:rsid w:val="00C06FA3"/>
    <w:rsid w:val="00C0725D"/>
    <w:rsid w:val="00C07465"/>
    <w:rsid w:val="00C07617"/>
    <w:rsid w:val="00C10886"/>
    <w:rsid w:val="00C111C1"/>
    <w:rsid w:val="00C111CE"/>
    <w:rsid w:val="00C11CD5"/>
    <w:rsid w:val="00C12165"/>
    <w:rsid w:val="00C1227D"/>
    <w:rsid w:val="00C1247E"/>
    <w:rsid w:val="00C124D4"/>
    <w:rsid w:val="00C12745"/>
    <w:rsid w:val="00C12EA3"/>
    <w:rsid w:val="00C13227"/>
    <w:rsid w:val="00C1326C"/>
    <w:rsid w:val="00C1387E"/>
    <w:rsid w:val="00C1401F"/>
    <w:rsid w:val="00C14209"/>
    <w:rsid w:val="00C14327"/>
    <w:rsid w:val="00C14403"/>
    <w:rsid w:val="00C1443F"/>
    <w:rsid w:val="00C14BAE"/>
    <w:rsid w:val="00C1561F"/>
    <w:rsid w:val="00C159AA"/>
    <w:rsid w:val="00C16890"/>
    <w:rsid w:val="00C1694F"/>
    <w:rsid w:val="00C16A2B"/>
    <w:rsid w:val="00C16E40"/>
    <w:rsid w:val="00C16FBA"/>
    <w:rsid w:val="00C16FD9"/>
    <w:rsid w:val="00C17127"/>
    <w:rsid w:val="00C17283"/>
    <w:rsid w:val="00C174A5"/>
    <w:rsid w:val="00C177F2"/>
    <w:rsid w:val="00C17941"/>
    <w:rsid w:val="00C17F10"/>
    <w:rsid w:val="00C20049"/>
    <w:rsid w:val="00C20148"/>
    <w:rsid w:val="00C20977"/>
    <w:rsid w:val="00C209A4"/>
    <w:rsid w:val="00C20CD3"/>
    <w:rsid w:val="00C2101A"/>
    <w:rsid w:val="00C21BFE"/>
    <w:rsid w:val="00C21C3C"/>
    <w:rsid w:val="00C22806"/>
    <w:rsid w:val="00C22BFB"/>
    <w:rsid w:val="00C22CDB"/>
    <w:rsid w:val="00C231F2"/>
    <w:rsid w:val="00C2359F"/>
    <w:rsid w:val="00C236B5"/>
    <w:rsid w:val="00C23A1B"/>
    <w:rsid w:val="00C245CE"/>
    <w:rsid w:val="00C24A10"/>
    <w:rsid w:val="00C25E3A"/>
    <w:rsid w:val="00C25F97"/>
    <w:rsid w:val="00C26102"/>
    <w:rsid w:val="00C268F5"/>
    <w:rsid w:val="00C2705B"/>
    <w:rsid w:val="00C27CA3"/>
    <w:rsid w:val="00C27CF4"/>
    <w:rsid w:val="00C30614"/>
    <w:rsid w:val="00C30676"/>
    <w:rsid w:val="00C306DB"/>
    <w:rsid w:val="00C30DE3"/>
    <w:rsid w:val="00C31D01"/>
    <w:rsid w:val="00C31D9D"/>
    <w:rsid w:val="00C31E86"/>
    <w:rsid w:val="00C320E5"/>
    <w:rsid w:val="00C322D4"/>
    <w:rsid w:val="00C33785"/>
    <w:rsid w:val="00C33931"/>
    <w:rsid w:val="00C3402D"/>
    <w:rsid w:val="00C34E5F"/>
    <w:rsid w:val="00C35765"/>
    <w:rsid w:val="00C35FC0"/>
    <w:rsid w:val="00C36528"/>
    <w:rsid w:val="00C36C9E"/>
    <w:rsid w:val="00C36EB8"/>
    <w:rsid w:val="00C37A33"/>
    <w:rsid w:val="00C37BE5"/>
    <w:rsid w:val="00C37C31"/>
    <w:rsid w:val="00C40CD8"/>
    <w:rsid w:val="00C40E8B"/>
    <w:rsid w:val="00C40EB1"/>
    <w:rsid w:val="00C41068"/>
    <w:rsid w:val="00C41686"/>
    <w:rsid w:val="00C41729"/>
    <w:rsid w:val="00C421CF"/>
    <w:rsid w:val="00C42519"/>
    <w:rsid w:val="00C4290A"/>
    <w:rsid w:val="00C42B06"/>
    <w:rsid w:val="00C42C66"/>
    <w:rsid w:val="00C42FB1"/>
    <w:rsid w:val="00C43063"/>
    <w:rsid w:val="00C43F30"/>
    <w:rsid w:val="00C43FF4"/>
    <w:rsid w:val="00C44042"/>
    <w:rsid w:val="00C44A68"/>
    <w:rsid w:val="00C465CB"/>
    <w:rsid w:val="00C46A7B"/>
    <w:rsid w:val="00C50566"/>
    <w:rsid w:val="00C50622"/>
    <w:rsid w:val="00C50EBF"/>
    <w:rsid w:val="00C51287"/>
    <w:rsid w:val="00C51612"/>
    <w:rsid w:val="00C51F05"/>
    <w:rsid w:val="00C51F57"/>
    <w:rsid w:val="00C52B3F"/>
    <w:rsid w:val="00C53202"/>
    <w:rsid w:val="00C5359E"/>
    <w:rsid w:val="00C53755"/>
    <w:rsid w:val="00C53A4E"/>
    <w:rsid w:val="00C53B28"/>
    <w:rsid w:val="00C5402E"/>
    <w:rsid w:val="00C5423B"/>
    <w:rsid w:val="00C54978"/>
    <w:rsid w:val="00C5515E"/>
    <w:rsid w:val="00C55490"/>
    <w:rsid w:val="00C560B0"/>
    <w:rsid w:val="00C57781"/>
    <w:rsid w:val="00C57903"/>
    <w:rsid w:val="00C57E48"/>
    <w:rsid w:val="00C60423"/>
    <w:rsid w:val="00C6045B"/>
    <w:rsid w:val="00C604B9"/>
    <w:rsid w:val="00C604F0"/>
    <w:rsid w:val="00C60EAA"/>
    <w:rsid w:val="00C61492"/>
    <w:rsid w:val="00C61804"/>
    <w:rsid w:val="00C61D80"/>
    <w:rsid w:val="00C61DB2"/>
    <w:rsid w:val="00C61E0D"/>
    <w:rsid w:val="00C63226"/>
    <w:rsid w:val="00C63BAC"/>
    <w:rsid w:val="00C63E78"/>
    <w:rsid w:val="00C644DA"/>
    <w:rsid w:val="00C64924"/>
    <w:rsid w:val="00C64F50"/>
    <w:rsid w:val="00C650A8"/>
    <w:rsid w:val="00C6581F"/>
    <w:rsid w:val="00C66624"/>
    <w:rsid w:val="00C668DE"/>
    <w:rsid w:val="00C66991"/>
    <w:rsid w:val="00C66A8F"/>
    <w:rsid w:val="00C66FD0"/>
    <w:rsid w:val="00C6775D"/>
    <w:rsid w:val="00C67B70"/>
    <w:rsid w:val="00C70009"/>
    <w:rsid w:val="00C7053F"/>
    <w:rsid w:val="00C7085E"/>
    <w:rsid w:val="00C72011"/>
    <w:rsid w:val="00C726D7"/>
    <w:rsid w:val="00C728EF"/>
    <w:rsid w:val="00C7296E"/>
    <w:rsid w:val="00C72A94"/>
    <w:rsid w:val="00C72EC2"/>
    <w:rsid w:val="00C72FFE"/>
    <w:rsid w:val="00C732C0"/>
    <w:rsid w:val="00C73E92"/>
    <w:rsid w:val="00C73F84"/>
    <w:rsid w:val="00C746E4"/>
    <w:rsid w:val="00C74E3A"/>
    <w:rsid w:val="00C75047"/>
    <w:rsid w:val="00C7517F"/>
    <w:rsid w:val="00C751CA"/>
    <w:rsid w:val="00C75482"/>
    <w:rsid w:val="00C761A1"/>
    <w:rsid w:val="00C76653"/>
    <w:rsid w:val="00C76941"/>
    <w:rsid w:val="00C76A97"/>
    <w:rsid w:val="00C76E84"/>
    <w:rsid w:val="00C770E6"/>
    <w:rsid w:val="00C7712F"/>
    <w:rsid w:val="00C775FD"/>
    <w:rsid w:val="00C80627"/>
    <w:rsid w:val="00C813CA"/>
    <w:rsid w:val="00C81C92"/>
    <w:rsid w:val="00C82723"/>
    <w:rsid w:val="00C82803"/>
    <w:rsid w:val="00C82B16"/>
    <w:rsid w:val="00C82C3D"/>
    <w:rsid w:val="00C83A61"/>
    <w:rsid w:val="00C8417A"/>
    <w:rsid w:val="00C84FB9"/>
    <w:rsid w:val="00C860C7"/>
    <w:rsid w:val="00C86306"/>
    <w:rsid w:val="00C86773"/>
    <w:rsid w:val="00C86803"/>
    <w:rsid w:val="00C8686E"/>
    <w:rsid w:val="00C87359"/>
    <w:rsid w:val="00C878EA"/>
    <w:rsid w:val="00C87B2A"/>
    <w:rsid w:val="00C87C1A"/>
    <w:rsid w:val="00C902C1"/>
    <w:rsid w:val="00C902E6"/>
    <w:rsid w:val="00C90CBE"/>
    <w:rsid w:val="00C910A8"/>
    <w:rsid w:val="00C91696"/>
    <w:rsid w:val="00C919AC"/>
    <w:rsid w:val="00C92196"/>
    <w:rsid w:val="00C92917"/>
    <w:rsid w:val="00C9303F"/>
    <w:rsid w:val="00C930B6"/>
    <w:rsid w:val="00C93208"/>
    <w:rsid w:val="00C933AB"/>
    <w:rsid w:val="00C93499"/>
    <w:rsid w:val="00C93721"/>
    <w:rsid w:val="00C93906"/>
    <w:rsid w:val="00C93977"/>
    <w:rsid w:val="00C939D3"/>
    <w:rsid w:val="00C93D60"/>
    <w:rsid w:val="00C940AF"/>
    <w:rsid w:val="00C9497D"/>
    <w:rsid w:val="00C94A22"/>
    <w:rsid w:val="00C94E55"/>
    <w:rsid w:val="00C95121"/>
    <w:rsid w:val="00C957E4"/>
    <w:rsid w:val="00C961B0"/>
    <w:rsid w:val="00C972DB"/>
    <w:rsid w:val="00C973C5"/>
    <w:rsid w:val="00C97806"/>
    <w:rsid w:val="00CA03D8"/>
    <w:rsid w:val="00CA05D4"/>
    <w:rsid w:val="00CA0ADE"/>
    <w:rsid w:val="00CA0B6B"/>
    <w:rsid w:val="00CA1BDF"/>
    <w:rsid w:val="00CA22BF"/>
    <w:rsid w:val="00CA2BA7"/>
    <w:rsid w:val="00CA3438"/>
    <w:rsid w:val="00CA3602"/>
    <w:rsid w:val="00CA3771"/>
    <w:rsid w:val="00CA384E"/>
    <w:rsid w:val="00CA40DB"/>
    <w:rsid w:val="00CA437E"/>
    <w:rsid w:val="00CA47D0"/>
    <w:rsid w:val="00CA4E0E"/>
    <w:rsid w:val="00CA52D5"/>
    <w:rsid w:val="00CA5CB3"/>
    <w:rsid w:val="00CA5DA9"/>
    <w:rsid w:val="00CA5F46"/>
    <w:rsid w:val="00CA5F8F"/>
    <w:rsid w:val="00CA63AE"/>
    <w:rsid w:val="00CA6AB9"/>
    <w:rsid w:val="00CA6DC8"/>
    <w:rsid w:val="00CA7002"/>
    <w:rsid w:val="00CA708D"/>
    <w:rsid w:val="00CA7333"/>
    <w:rsid w:val="00CA742E"/>
    <w:rsid w:val="00CA75D8"/>
    <w:rsid w:val="00CA7A89"/>
    <w:rsid w:val="00CA7B79"/>
    <w:rsid w:val="00CB00EF"/>
    <w:rsid w:val="00CB03C0"/>
    <w:rsid w:val="00CB0903"/>
    <w:rsid w:val="00CB090C"/>
    <w:rsid w:val="00CB0C3D"/>
    <w:rsid w:val="00CB0CE8"/>
    <w:rsid w:val="00CB0E5A"/>
    <w:rsid w:val="00CB10F8"/>
    <w:rsid w:val="00CB1218"/>
    <w:rsid w:val="00CB13B5"/>
    <w:rsid w:val="00CB1743"/>
    <w:rsid w:val="00CB1D67"/>
    <w:rsid w:val="00CB273D"/>
    <w:rsid w:val="00CB2936"/>
    <w:rsid w:val="00CB2B46"/>
    <w:rsid w:val="00CB3094"/>
    <w:rsid w:val="00CB33E1"/>
    <w:rsid w:val="00CB3E45"/>
    <w:rsid w:val="00CB4250"/>
    <w:rsid w:val="00CB42B4"/>
    <w:rsid w:val="00CB45D0"/>
    <w:rsid w:val="00CB4AFC"/>
    <w:rsid w:val="00CB4CE3"/>
    <w:rsid w:val="00CB4D31"/>
    <w:rsid w:val="00CB4E33"/>
    <w:rsid w:val="00CB5078"/>
    <w:rsid w:val="00CB578E"/>
    <w:rsid w:val="00CB59D9"/>
    <w:rsid w:val="00CB629C"/>
    <w:rsid w:val="00CB640F"/>
    <w:rsid w:val="00CB7887"/>
    <w:rsid w:val="00CB7D67"/>
    <w:rsid w:val="00CB7D6F"/>
    <w:rsid w:val="00CC0457"/>
    <w:rsid w:val="00CC08B7"/>
    <w:rsid w:val="00CC2743"/>
    <w:rsid w:val="00CC277F"/>
    <w:rsid w:val="00CC2EC8"/>
    <w:rsid w:val="00CC3165"/>
    <w:rsid w:val="00CC3837"/>
    <w:rsid w:val="00CC3A54"/>
    <w:rsid w:val="00CC3A60"/>
    <w:rsid w:val="00CC3B84"/>
    <w:rsid w:val="00CC3BA7"/>
    <w:rsid w:val="00CC4028"/>
    <w:rsid w:val="00CC4683"/>
    <w:rsid w:val="00CC4C55"/>
    <w:rsid w:val="00CC529D"/>
    <w:rsid w:val="00CC548A"/>
    <w:rsid w:val="00CC56BA"/>
    <w:rsid w:val="00CC59B8"/>
    <w:rsid w:val="00CC61E6"/>
    <w:rsid w:val="00CC625E"/>
    <w:rsid w:val="00CC6E75"/>
    <w:rsid w:val="00CC7F13"/>
    <w:rsid w:val="00CD0174"/>
    <w:rsid w:val="00CD01D3"/>
    <w:rsid w:val="00CD0F17"/>
    <w:rsid w:val="00CD15A9"/>
    <w:rsid w:val="00CD17BD"/>
    <w:rsid w:val="00CD245F"/>
    <w:rsid w:val="00CD253A"/>
    <w:rsid w:val="00CD2A25"/>
    <w:rsid w:val="00CD320A"/>
    <w:rsid w:val="00CD35B1"/>
    <w:rsid w:val="00CD3849"/>
    <w:rsid w:val="00CD437E"/>
    <w:rsid w:val="00CD4D96"/>
    <w:rsid w:val="00CD506E"/>
    <w:rsid w:val="00CD59B9"/>
    <w:rsid w:val="00CD5AC3"/>
    <w:rsid w:val="00CD5CCD"/>
    <w:rsid w:val="00CD5D4F"/>
    <w:rsid w:val="00CD5F14"/>
    <w:rsid w:val="00CD5F52"/>
    <w:rsid w:val="00CD5F9B"/>
    <w:rsid w:val="00CD601A"/>
    <w:rsid w:val="00CD7636"/>
    <w:rsid w:val="00CD7678"/>
    <w:rsid w:val="00CD7DF7"/>
    <w:rsid w:val="00CE0553"/>
    <w:rsid w:val="00CE0C07"/>
    <w:rsid w:val="00CE0ED4"/>
    <w:rsid w:val="00CE1921"/>
    <w:rsid w:val="00CE1943"/>
    <w:rsid w:val="00CE1F48"/>
    <w:rsid w:val="00CE212C"/>
    <w:rsid w:val="00CE238C"/>
    <w:rsid w:val="00CE2618"/>
    <w:rsid w:val="00CE28FA"/>
    <w:rsid w:val="00CE3CA8"/>
    <w:rsid w:val="00CE41DB"/>
    <w:rsid w:val="00CE498A"/>
    <w:rsid w:val="00CE4D38"/>
    <w:rsid w:val="00CE4DF8"/>
    <w:rsid w:val="00CE524B"/>
    <w:rsid w:val="00CE5286"/>
    <w:rsid w:val="00CE54C8"/>
    <w:rsid w:val="00CE5641"/>
    <w:rsid w:val="00CE5AD7"/>
    <w:rsid w:val="00CE5D99"/>
    <w:rsid w:val="00CE6155"/>
    <w:rsid w:val="00CE6882"/>
    <w:rsid w:val="00CE71E6"/>
    <w:rsid w:val="00CE72EA"/>
    <w:rsid w:val="00CE7432"/>
    <w:rsid w:val="00CE74EA"/>
    <w:rsid w:val="00CE76F5"/>
    <w:rsid w:val="00CE7D83"/>
    <w:rsid w:val="00CF04A5"/>
    <w:rsid w:val="00CF071B"/>
    <w:rsid w:val="00CF0DD7"/>
    <w:rsid w:val="00CF0FC7"/>
    <w:rsid w:val="00CF1021"/>
    <w:rsid w:val="00CF1718"/>
    <w:rsid w:val="00CF2513"/>
    <w:rsid w:val="00CF29AF"/>
    <w:rsid w:val="00CF2BC8"/>
    <w:rsid w:val="00CF32DC"/>
    <w:rsid w:val="00CF3AFC"/>
    <w:rsid w:val="00CF3D95"/>
    <w:rsid w:val="00CF3E98"/>
    <w:rsid w:val="00CF4014"/>
    <w:rsid w:val="00CF4E2C"/>
    <w:rsid w:val="00CF5058"/>
    <w:rsid w:val="00CF58B2"/>
    <w:rsid w:val="00CF5AD1"/>
    <w:rsid w:val="00CF62FB"/>
    <w:rsid w:val="00CF68EC"/>
    <w:rsid w:val="00CF6CF9"/>
    <w:rsid w:val="00CF6E4A"/>
    <w:rsid w:val="00CF6E5D"/>
    <w:rsid w:val="00CF6E86"/>
    <w:rsid w:val="00CF7426"/>
    <w:rsid w:val="00CF7BFA"/>
    <w:rsid w:val="00CF7D50"/>
    <w:rsid w:val="00D00982"/>
    <w:rsid w:val="00D00C32"/>
    <w:rsid w:val="00D00D59"/>
    <w:rsid w:val="00D01CD6"/>
    <w:rsid w:val="00D01E00"/>
    <w:rsid w:val="00D020DD"/>
    <w:rsid w:val="00D02221"/>
    <w:rsid w:val="00D023DE"/>
    <w:rsid w:val="00D030AF"/>
    <w:rsid w:val="00D0315C"/>
    <w:rsid w:val="00D0323B"/>
    <w:rsid w:val="00D036D6"/>
    <w:rsid w:val="00D03842"/>
    <w:rsid w:val="00D04E52"/>
    <w:rsid w:val="00D0506A"/>
    <w:rsid w:val="00D0567B"/>
    <w:rsid w:val="00D05786"/>
    <w:rsid w:val="00D05A1D"/>
    <w:rsid w:val="00D05B44"/>
    <w:rsid w:val="00D05C8F"/>
    <w:rsid w:val="00D0683B"/>
    <w:rsid w:val="00D06E51"/>
    <w:rsid w:val="00D071F4"/>
    <w:rsid w:val="00D07369"/>
    <w:rsid w:val="00D07AAF"/>
    <w:rsid w:val="00D07ADE"/>
    <w:rsid w:val="00D10716"/>
    <w:rsid w:val="00D11138"/>
    <w:rsid w:val="00D12293"/>
    <w:rsid w:val="00D12608"/>
    <w:rsid w:val="00D126C0"/>
    <w:rsid w:val="00D1309D"/>
    <w:rsid w:val="00D134E3"/>
    <w:rsid w:val="00D13848"/>
    <w:rsid w:val="00D13A85"/>
    <w:rsid w:val="00D13DDF"/>
    <w:rsid w:val="00D1424C"/>
    <w:rsid w:val="00D14619"/>
    <w:rsid w:val="00D14714"/>
    <w:rsid w:val="00D14CEF"/>
    <w:rsid w:val="00D155F8"/>
    <w:rsid w:val="00D15A52"/>
    <w:rsid w:val="00D15C67"/>
    <w:rsid w:val="00D162E2"/>
    <w:rsid w:val="00D1675C"/>
    <w:rsid w:val="00D16934"/>
    <w:rsid w:val="00D16ED1"/>
    <w:rsid w:val="00D1717B"/>
    <w:rsid w:val="00D175D9"/>
    <w:rsid w:val="00D17CD9"/>
    <w:rsid w:val="00D204CC"/>
    <w:rsid w:val="00D20D9C"/>
    <w:rsid w:val="00D21527"/>
    <w:rsid w:val="00D215AA"/>
    <w:rsid w:val="00D215B9"/>
    <w:rsid w:val="00D217C2"/>
    <w:rsid w:val="00D21DBA"/>
    <w:rsid w:val="00D21DF7"/>
    <w:rsid w:val="00D220B7"/>
    <w:rsid w:val="00D226B9"/>
    <w:rsid w:val="00D2313F"/>
    <w:rsid w:val="00D235DA"/>
    <w:rsid w:val="00D23863"/>
    <w:rsid w:val="00D23D49"/>
    <w:rsid w:val="00D243F5"/>
    <w:rsid w:val="00D24783"/>
    <w:rsid w:val="00D249CE"/>
    <w:rsid w:val="00D24A98"/>
    <w:rsid w:val="00D24ECF"/>
    <w:rsid w:val="00D25173"/>
    <w:rsid w:val="00D252B6"/>
    <w:rsid w:val="00D25E3A"/>
    <w:rsid w:val="00D25F9E"/>
    <w:rsid w:val="00D260A6"/>
    <w:rsid w:val="00D26600"/>
    <w:rsid w:val="00D269D3"/>
    <w:rsid w:val="00D26DF6"/>
    <w:rsid w:val="00D27FB5"/>
    <w:rsid w:val="00D3021A"/>
    <w:rsid w:val="00D30369"/>
    <w:rsid w:val="00D304B7"/>
    <w:rsid w:val="00D305FC"/>
    <w:rsid w:val="00D30A1E"/>
    <w:rsid w:val="00D30AF9"/>
    <w:rsid w:val="00D31017"/>
    <w:rsid w:val="00D314A0"/>
    <w:rsid w:val="00D31BD4"/>
    <w:rsid w:val="00D32774"/>
    <w:rsid w:val="00D32992"/>
    <w:rsid w:val="00D33272"/>
    <w:rsid w:val="00D332E3"/>
    <w:rsid w:val="00D33BCF"/>
    <w:rsid w:val="00D34100"/>
    <w:rsid w:val="00D34F4C"/>
    <w:rsid w:val="00D35B1A"/>
    <w:rsid w:val="00D35BA4"/>
    <w:rsid w:val="00D35CC4"/>
    <w:rsid w:val="00D35F2B"/>
    <w:rsid w:val="00D36000"/>
    <w:rsid w:val="00D36D9B"/>
    <w:rsid w:val="00D37765"/>
    <w:rsid w:val="00D378E1"/>
    <w:rsid w:val="00D37A4B"/>
    <w:rsid w:val="00D40B36"/>
    <w:rsid w:val="00D414E2"/>
    <w:rsid w:val="00D414EF"/>
    <w:rsid w:val="00D4174B"/>
    <w:rsid w:val="00D41FB6"/>
    <w:rsid w:val="00D42953"/>
    <w:rsid w:val="00D42A5F"/>
    <w:rsid w:val="00D430AA"/>
    <w:rsid w:val="00D43446"/>
    <w:rsid w:val="00D437CC"/>
    <w:rsid w:val="00D43A3D"/>
    <w:rsid w:val="00D43EF5"/>
    <w:rsid w:val="00D43F26"/>
    <w:rsid w:val="00D43F8E"/>
    <w:rsid w:val="00D440FC"/>
    <w:rsid w:val="00D444DF"/>
    <w:rsid w:val="00D44656"/>
    <w:rsid w:val="00D448D2"/>
    <w:rsid w:val="00D44959"/>
    <w:rsid w:val="00D456E6"/>
    <w:rsid w:val="00D458C9"/>
    <w:rsid w:val="00D458E6"/>
    <w:rsid w:val="00D45AD7"/>
    <w:rsid w:val="00D45BA5"/>
    <w:rsid w:val="00D470A5"/>
    <w:rsid w:val="00D4718E"/>
    <w:rsid w:val="00D4741D"/>
    <w:rsid w:val="00D4758F"/>
    <w:rsid w:val="00D47995"/>
    <w:rsid w:val="00D47D6D"/>
    <w:rsid w:val="00D47DE9"/>
    <w:rsid w:val="00D50095"/>
    <w:rsid w:val="00D5041A"/>
    <w:rsid w:val="00D50D44"/>
    <w:rsid w:val="00D5127F"/>
    <w:rsid w:val="00D512B2"/>
    <w:rsid w:val="00D517FF"/>
    <w:rsid w:val="00D5215C"/>
    <w:rsid w:val="00D52212"/>
    <w:rsid w:val="00D532DF"/>
    <w:rsid w:val="00D53A60"/>
    <w:rsid w:val="00D53B24"/>
    <w:rsid w:val="00D5455C"/>
    <w:rsid w:val="00D5486B"/>
    <w:rsid w:val="00D54A55"/>
    <w:rsid w:val="00D54FA2"/>
    <w:rsid w:val="00D5538A"/>
    <w:rsid w:val="00D553BA"/>
    <w:rsid w:val="00D553EA"/>
    <w:rsid w:val="00D55898"/>
    <w:rsid w:val="00D561EC"/>
    <w:rsid w:val="00D565AB"/>
    <w:rsid w:val="00D569C8"/>
    <w:rsid w:val="00D56D76"/>
    <w:rsid w:val="00D56DD9"/>
    <w:rsid w:val="00D60EA8"/>
    <w:rsid w:val="00D60F93"/>
    <w:rsid w:val="00D6122A"/>
    <w:rsid w:val="00D61614"/>
    <w:rsid w:val="00D621D1"/>
    <w:rsid w:val="00D6229B"/>
    <w:rsid w:val="00D62899"/>
    <w:rsid w:val="00D628BC"/>
    <w:rsid w:val="00D62DCB"/>
    <w:rsid w:val="00D62F3B"/>
    <w:rsid w:val="00D63576"/>
    <w:rsid w:val="00D63C86"/>
    <w:rsid w:val="00D63C88"/>
    <w:rsid w:val="00D63D07"/>
    <w:rsid w:val="00D642CC"/>
    <w:rsid w:val="00D6497A"/>
    <w:rsid w:val="00D64BAF"/>
    <w:rsid w:val="00D65D58"/>
    <w:rsid w:val="00D6674E"/>
    <w:rsid w:val="00D6718B"/>
    <w:rsid w:val="00D671C3"/>
    <w:rsid w:val="00D67772"/>
    <w:rsid w:val="00D67B20"/>
    <w:rsid w:val="00D67BBF"/>
    <w:rsid w:val="00D67FE5"/>
    <w:rsid w:val="00D67FEA"/>
    <w:rsid w:val="00D70341"/>
    <w:rsid w:val="00D7038F"/>
    <w:rsid w:val="00D7060A"/>
    <w:rsid w:val="00D709AD"/>
    <w:rsid w:val="00D70E1B"/>
    <w:rsid w:val="00D716BF"/>
    <w:rsid w:val="00D71930"/>
    <w:rsid w:val="00D7202A"/>
    <w:rsid w:val="00D7228E"/>
    <w:rsid w:val="00D728D8"/>
    <w:rsid w:val="00D72A2E"/>
    <w:rsid w:val="00D734FE"/>
    <w:rsid w:val="00D73545"/>
    <w:rsid w:val="00D737F7"/>
    <w:rsid w:val="00D74074"/>
    <w:rsid w:val="00D7409B"/>
    <w:rsid w:val="00D74149"/>
    <w:rsid w:val="00D7414F"/>
    <w:rsid w:val="00D74D98"/>
    <w:rsid w:val="00D75622"/>
    <w:rsid w:val="00D7597E"/>
    <w:rsid w:val="00D75A3C"/>
    <w:rsid w:val="00D76163"/>
    <w:rsid w:val="00D763D5"/>
    <w:rsid w:val="00D765D6"/>
    <w:rsid w:val="00D76AA2"/>
    <w:rsid w:val="00D77041"/>
    <w:rsid w:val="00D775BD"/>
    <w:rsid w:val="00D775D0"/>
    <w:rsid w:val="00D7780D"/>
    <w:rsid w:val="00D77A9C"/>
    <w:rsid w:val="00D77CC6"/>
    <w:rsid w:val="00D77D02"/>
    <w:rsid w:val="00D8036B"/>
    <w:rsid w:val="00D81392"/>
    <w:rsid w:val="00D8154D"/>
    <w:rsid w:val="00D815F7"/>
    <w:rsid w:val="00D81615"/>
    <w:rsid w:val="00D8184C"/>
    <w:rsid w:val="00D81C30"/>
    <w:rsid w:val="00D831B5"/>
    <w:rsid w:val="00D836CE"/>
    <w:rsid w:val="00D83E6C"/>
    <w:rsid w:val="00D84993"/>
    <w:rsid w:val="00D85623"/>
    <w:rsid w:val="00D864FD"/>
    <w:rsid w:val="00D86F72"/>
    <w:rsid w:val="00D87222"/>
    <w:rsid w:val="00D874F4"/>
    <w:rsid w:val="00D876AB"/>
    <w:rsid w:val="00D876E4"/>
    <w:rsid w:val="00D87BB4"/>
    <w:rsid w:val="00D900F7"/>
    <w:rsid w:val="00D90251"/>
    <w:rsid w:val="00D9047E"/>
    <w:rsid w:val="00D90C13"/>
    <w:rsid w:val="00D920FA"/>
    <w:rsid w:val="00D924C0"/>
    <w:rsid w:val="00D926F3"/>
    <w:rsid w:val="00D92C47"/>
    <w:rsid w:val="00D93579"/>
    <w:rsid w:val="00D93BA5"/>
    <w:rsid w:val="00D94027"/>
    <w:rsid w:val="00D94095"/>
    <w:rsid w:val="00D9420A"/>
    <w:rsid w:val="00D94567"/>
    <w:rsid w:val="00D94A46"/>
    <w:rsid w:val="00D94F91"/>
    <w:rsid w:val="00D951E1"/>
    <w:rsid w:val="00D95472"/>
    <w:rsid w:val="00D9549F"/>
    <w:rsid w:val="00D95947"/>
    <w:rsid w:val="00D9686F"/>
    <w:rsid w:val="00D96AD4"/>
    <w:rsid w:val="00D96B31"/>
    <w:rsid w:val="00D97352"/>
    <w:rsid w:val="00DA024C"/>
    <w:rsid w:val="00DA0435"/>
    <w:rsid w:val="00DA050F"/>
    <w:rsid w:val="00DA09CE"/>
    <w:rsid w:val="00DA0C1D"/>
    <w:rsid w:val="00DA0ED8"/>
    <w:rsid w:val="00DA10C5"/>
    <w:rsid w:val="00DA1375"/>
    <w:rsid w:val="00DA172C"/>
    <w:rsid w:val="00DA1768"/>
    <w:rsid w:val="00DA1989"/>
    <w:rsid w:val="00DA1AD0"/>
    <w:rsid w:val="00DA1C48"/>
    <w:rsid w:val="00DA242A"/>
    <w:rsid w:val="00DA2645"/>
    <w:rsid w:val="00DA2719"/>
    <w:rsid w:val="00DA29D9"/>
    <w:rsid w:val="00DA2D7D"/>
    <w:rsid w:val="00DA35A3"/>
    <w:rsid w:val="00DA45E3"/>
    <w:rsid w:val="00DA4D76"/>
    <w:rsid w:val="00DA4E4B"/>
    <w:rsid w:val="00DA5088"/>
    <w:rsid w:val="00DA524C"/>
    <w:rsid w:val="00DA57A2"/>
    <w:rsid w:val="00DA57E2"/>
    <w:rsid w:val="00DA586B"/>
    <w:rsid w:val="00DA706D"/>
    <w:rsid w:val="00DA7785"/>
    <w:rsid w:val="00DA7A4C"/>
    <w:rsid w:val="00DA7D66"/>
    <w:rsid w:val="00DB059B"/>
    <w:rsid w:val="00DB05FE"/>
    <w:rsid w:val="00DB0749"/>
    <w:rsid w:val="00DB079D"/>
    <w:rsid w:val="00DB0B08"/>
    <w:rsid w:val="00DB13BC"/>
    <w:rsid w:val="00DB13BE"/>
    <w:rsid w:val="00DB21C7"/>
    <w:rsid w:val="00DB2364"/>
    <w:rsid w:val="00DB2660"/>
    <w:rsid w:val="00DB275D"/>
    <w:rsid w:val="00DB2CC5"/>
    <w:rsid w:val="00DB3243"/>
    <w:rsid w:val="00DB3A37"/>
    <w:rsid w:val="00DB3B9A"/>
    <w:rsid w:val="00DB3F7E"/>
    <w:rsid w:val="00DB43B6"/>
    <w:rsid w:val="00DB45EF"/>
    <w:rsid w:val="00DB4698"/>
    <w:rsid w:val="00DB480F"/>
    <w:rsid w:val="00DB5339"/>
    <w:rsid w:val="00DB590F"/>
    <w:rsid w:val="00DB62E8"/>
    <w:rsid w:val="00DB6622"/>
    <w:rsid w:val="00DB6828"/>
    <w:rsid w:val="00DB6A62"/>
    <w:rsid w:val="00DB6B54"/>
    <w:rsid w:val="00DB7029"/>
    <w:rsid w:val="00DB77F9"/>
    <w:rsid w:val="00DB7AAC"/>
    <w:rsid w:val="00DB7ACD"/>
    <w:rsid w:val="00DC062D"/>
    <w:rsid w:val="00DC0AC9"/>
    <w:rsid w:val="00DC20C4"/>
    <w:rsid w:val="00DC2AA2"/>
    <w:rsid w:val="00DC2C5C"/>
    <w:rsid w:val="00DC379F"/>
    <w:rsid w:val="00DC398A"/>
    <w:rsid w:val="00DC41D0"/>
    <w:rsid w:val="00DC42E5"/>
    <w:rsid w:val="00DC4FAB"/>
    <w:rsid w:val="00DC5082"/>
    <w:rsid w:val="00DC5F07"/>
    <w:rsid w:val="00DC632D"/>
    <w:rsid w:val="00DC643C"/>
    <w:rsid w:val="00DC691D"/>
    <w:rsid w:val="00DC6AD6"/>
    <w:rsid w:val="00DC6BBE"/>
    <w:rsid w:val="00DC72BF"/>
    <w:rsid w:val="00DC73BF"/>
    <w:rsid w:val="00DC7723"/>
    <w:rsid w:val="00DC7CC9"/>
    <w:rsid w:val="00DD06FC"/>
    <w:rsid w:val="00DD131C"/>
    <w:rsid w:val="00DD1CE7"/>
    <w:rsid w:val="00DD213E"/>
    <w:rsid w:val="00DD2286"/>
    <w:rsid w:val="00DD28B9"/>
    <w:rsid w:val="00DD2BE1"/>
    <w:rsid w:val="00DD2EAB"/>
    <w:rsid w:val="00DD2F49"/>
    <w:rsid w:val="00DD316D"/>
    <w:rsid w:val="00DD3CD0"/>
    <w:rsid w:val="00DD3EA5"/>
    <w:rsid w:val="00DD41A8"/>
    <w:rsid w:val="00DD42AF"/>
    <w:rsid w:val="00DD43CD"/>
    <w:rsid w:val="00DD46D2"/>
    <w:rsid w:val="00DD4B40"/>
    <w:rsid w:val="00DD5590"/>
    <w:rsid w:val="00DD5F74"/>
    <w:rsid w:val="00DD63CD"/>
    <w:rsid w:val="00DD63FE"/>
    <w:rsid w:val="00DD6A13"/>
    <w:rsid w:val="00DD6AD0"/>
    <w:rsid w:val="00DD6BF2"/>
    <w:rsid w:val="00DD6E44"/>
    <w:rsid w:val="00DD6EC0"/>
    <w:rsid w:val="00DD74C4"/>
    <w:rsid w:val="00DD772F"/>
    <w:rsid w:val="00DD7B34"/>
    <w:rsid w:val="00DD7B6A"/>
    <w:rsid w:val="00DD7DCD"/>
    <w:rsid w:val="00DE0242"/>
    <w:rsid w:val="00DE045F"/>
    <w:rsid w:val="00DE07B0"/>
    <w:rsid w:val="00DE0FB2"/>
    <w:rsid w:val="00DE1314"/>
    <w:rsid w:val="00DE19E3"/>
    <w:rsid w:val="00DE1E4D"/>
    <w:rsid w:val="00DE220E"/>
    <w:rsid w:val="00DE2D68"/>
    <w:rsid w:val="00DE3015"/>
    <w:rsid w:val="00DE325C"/>
    <w:rsid w:val="00DE3DAF"/>
    <w:rsid w:val="00DE4468"/>
    <w:rsid w:val="00DE4D94"/>
    <w:rsid w:val="00DE4F39"/>
    <w:rsid w:val="00DE56DF"/>
    <w:rsid w:val="00DE6698"/>
    <w:rsid w:val="00DE6751"/>
    <w:rsid w:val="00DE6798"/>
    <w:rsid w:val="00DE6A27"/>
    <w:rsid w:val="00DE77DD"/>
    <w:rsid w:val="00DE78FD"/>
    <w:rsid w:val="00DE7E4E"/>
    <w:rsid w:val="00DF028B"/>
    <w:rsid w:val="00DF088C"/>
    <w:rsid w:val="00DF0BEE"/>
    <w:rsid w:val="00DF0C77"/>
    <w:rsid w:val="00DF0D86"/>
    <w:rsid w:val="00DF0F6D"/>
    <w:rsid w:val="00DF0FA2"/>
    <w:rsid w:val="00DF1D61"/>
    <w:rsid w:val="00DF293A"/>
    <w:rsid w:val="00DF29F6"/>
    <w:rsid w:val="00DF353E"/>
    <w:rsid w:val="00DF3E1A"/>
    <w:rsid w:val="00DF413C"/>
    <w:rsid w:val="00DF4442"/>
    <w:rsid w:val="00DF4B91"/>
    <w:rsid w:val="00DF52F1"/>
    <w:rsid w:val="00DF53D9"/>
    <w:rsid w:val="00DF56AA"/>
    <w:rsid w:val="00DF5E33"/>
    <w:rsid w:val="00DF5F43"/>
    <w:rsid w:val="00DF66E7"/>
    <w:rsid w:val="00DF7234"/>
    <w:rsid w:val="00DF72AA"/>
    <w:rsid w:val="00DF7FA2"/>
    <w:rsid w:val="00E004C8"/>
    <w:rsid w:val="00E004EF"/>
    <w:rsid w:val="00E00789"/>
    <w:rsid w:val="00E008B4"/>
    <w:rsid w:val="00E0144A"/>
    <w:rsid w:val="00E015BD"/>
    <w:rsid w:val="00E015D1"/>
    <w:rsid w:val="00E01E89"/>
    <w:rsid w:val="00E01F69"/>
    <w:rsid w:val="00E0244B"/>
    <w:rsid w:val="00E02584"/>
    <w:rsid w:val="00E026C1"/>
    <w:rsid w:val="00E02CA9"/>
    <w:rsid w:val="00E03029"/>
    <w:rsid w:val="00E03786"/>
    <w:rsid w:val="00E0390D"/>
    <w:rsid w:val="00E04586"/>
    <w:rsid w:val="00E04936"/>
    <w:rsid w:val="00E04A3D"/>
    <w:rsid w:val="00E0526E"/>
    <w:rsid w:val="00E05A56"/>
    <w:rsid w:val="00E05C2D"/>
    <w:rsid w:val="00E05DCD"/>
    <w:rsid w:val="00E06199"/>
    <w:rsid w:val="00E06BA2"/>
    <w:rsid w:val="00E06CAA"/>
    <w:rsid w:val="00E07183"/>
    <w:rsid w:val="00E07D21"/>
    <w:rsid w:val="00E07EB4"/>
    <w:rsid w:val="00E108FF"/>
    <w:rsid w:val="00E10A99"/>
    <w:rsid w:val="00E10BAB"/>
    <w:rsid w:val="00E11100"/>
    <w:rsid w:val="00E11537"/>
    <w:rsid w:val="00E11586"/>
    <w:rsid w:val="00E11780"/>
    <w:rsid w:val="00E11B6E"/>
    <w:rsid w:val="00E11C62"/>
    <w:rsid w:val="00E12446"/>
    <w:rsid w:val="00E126E6"/>
    <w:rsid w:val="00E12D22"/>
    <w:rsid w:val="00E12D8D"/>
    <w:rsid w:val="00E1305B"/>
    <w:rsid w:val="00E135B8"/>
    <w:rsid w:val="00E1368D"/>
    <w:rsid w:val="00E13AE7"/>
    <w:rsid w:val="00E14120"/>
    <w:rsid w:val="00E14318"/>
    <w:rsid w:val="00E146F9"/>
    <w:rsid w:val="00E156E0"/>
    <w:rsid w:val="00E15C43"/>
    <w:rsid w:val="00E15E6A"/>
    <w:rsid w:val="00E1610E"/>
    <w:rsid w:val="00E16AFD"/>
    <w:rsid w:val="00E174A3"/>
    <w:rsid w:val="00E175CC"/>
    <w:rsid w:val="00E1764D"/>
    <w:rsid w:val="00E17B0F"/>
    <w:rsid w:val="00E17B82"/>
    <w:rsid w:val="00E200CC"/>
    <w:rsid w:val="00E20BD4"/>
    <w:rsid w:val="00E210BD"/>
    <w:rsid w:val="00E2185D"/>
    <w:rsid w:val="00E2205F"/>
    <w:rsid w:val="00E22098"/>
    <w:rsid w:val="00E22440"/>
    <w:rsid w:val="00E22630"/>
    <w:rsid w:val="00E22F6C"/>
    <w:rsid w:val="00E23142"/>
    <w:rsid w:val="00E2343D"/>
    <w:rsid w:val="00E236E2"/>
    <w:rsid w:val="00E23E82"/>
    <w:rsid w:val="00E24ABF"/>
    <w:rsid w:val="00E25312"/>
    <w:rsid w:val="00E253A9"/>
    <w:rsid w:val="00E25B05"/>
    <w:rsid w:val="00E25BF4"/>
    <w:rsid w:val="00E25EDC"/>
    <w:rsid w:val="00E26866"/>
    <w:rsid w:val="00E26BBD"/>
    <w:rsid w:val="00E26C1E"/>
    <w:rsid w:val="00E26F8E"/>
    <w:rsid w:val="00E272DD"/>
    <w:rsid w:val="00E27467"/>
    <w:rsid w:val="00E2790C"/>
    <w:rsid w:val="00E27E4D"/>
    <w:rsid w:val="00E30803"/>
    <w:rsid w:val="00E308C8"/>
    <w:rsid w:val="00E3096B"/>
    <w:rsid w:val="00E30A93"/>
    <w:rsid w:val="00E30E9E"/>
    <w:rsid w:val="00E3139E"/>
    <w:rsid w:val="00E31484"/>
    <w:rsid w:val="00E3156D"/>
    <w:rsid w:val="00E31573"/>
    <w:rsid w:val="00E318BE"/>
    <w:rsid w:val="00E31D98"/>
    <w:rsid w:val="00E32978"/>
    <w:rsid w:val="00E32E4F"/>
    <w:rsid w:val="00E338EE"/>
    <w:rsid w:val="00E342AB"/>
    <w:rsid w:val="00E3434B"/>
    <w:rsid w:val="00E34A3B"/>
    <w:rsid w:val="00E34E64"/>
    <w:rsid w:val="00E353DA"/>
    <w:rsid w:val="00E35E75"/>
    <w:rsid w:val="00E35E92"/>
    <w:rsid w:val="00E3606E"/>
    <w:rsid w:val="00E3609B"/>
    <w:rsid w:val="00E363DE"/>
    <w:rsid w:val="00E36962"/>
    <w:rsid w:val="00E36968"/>
    <w:rsid w:val="00E36EF0"/>
    <w:rsid w:val="00E37332"/>
    <w:rsid w:val="00E3764E"/>
    <w:rsid w:val="00E3788E"/>
    <w:rsid w:val="00E378C5"/>
    <w:rsid w:val="00E37F87"/>
    <w:rsid w:val="00E4029D"/>
    <w:rsid w:val="00E40547"/>
    <w:rsid w:val="00E408E7"/>
    <w:rsid w:val="00E40D94"/>
    <w:rsid w:val="00E40E5C"/>
    <w:rsid w:val="00E410B7"/>
    <w:rsid w:val="00E41194"/>
    <w:rsid w:val="00E428EF"/>
    <w:rsid w:val="00E4303A"/>
    <w:rsid w:val="00E43C6E"/>
    <w:rsid w:val="00E43C98"/>
    <w:rsid w:val="00E440C9"/>
    <w:rsid w:val="00E441F8"/>
    <w:rsid w:val="00E44CBF"/>
    <w:rsid w:val="00E4519E"/>
    <w:rsid w:val="00E454A5"/>
    <w:rsid w:val="00E45F03"/>
    <w:rsid w:val="00E46A41"/>
    <w:rsid w:val="00E46C45"/>
    <w:rsid w:val="00E47004"/>
    <w:rsid w:val="00E470D8"/>
    <w:rsid w:val="00E47903"/>
    <w:rsid w:val="00E479B0"/>
    <w:rsid w:val="00E47B38"/>
    <w:rsid w:val="00E47B91"/>
    <w:rsid w:val="00E47F07"/>
    <w:rsid w:val="00E5015D"/>
    <w:rsid w:val="00E50176"/>
    <w:rsid w:val="00E5019F"/>
    <w:rsid w:val="00E507E3"/>
    <w:rsid w:val="00E50C4C"/>
    <w:rsid w:val="00E50C71"/>
    <w:rsid w:val="00E50CCA"/>
    <w:rsid w:val="00E50CF8"/>
    <w:rsid w:val="00E514DB"/>
    <w:rsid w:val="00E514E6"/>
    <w:rsid w:val="00E51759"/>
    <w:rsid w:val="00E51E53"/>
    <w:rsid w:val="00E52162"/>
    <w:rsid w:val="00E52728"/>
    <w:rsid w:val="00E527CE"/>
    <w:rsid w:val="00E52E25"/>
    <w:rsid w:val="00E530C0"/>
    <w:rsid w:val="00E53C4E"/>
    <w:rsid w:val="00E54652"/>
    <w:rsid w:val="00E547AA"/>
    <w:rsid w:val="00E54E6C"/>
    <w:rsid w:val="00E54E8C"/>
    <w:rsid w:val="00E55A04"/>
    <w:rsid w:val="00E568C5"/>
    <w:rsid w:val="00E571AF"/>
    <w:rsid w:val="00E571CC"/>
    <w:rsid w:val="00E57932"/>
    <w:rsid w:val="00E6048B"/>
    <w:rsid w:val="00E607EE"/>
    <w:rsid w:val="00E60AD1"/>
    <w:rsid w:val="00E60B1C"/>
    <w:rsid w:val="00E60DA2"/>
    <w:rsid w:val="00E60DC2"/>
    <w:rsid w:val="00E61142"/>
    <w:rsid w:val="00E61699"/>
    <w:rsid w:val="00E61AE7"/>
    <w:rsid w:val="00E61B63"/>
    <w:rsid w:val="00E61E31"/>
    <w:rsid w:val="00E61FBB"/>
    <w:rsid w:val="00E62051"/>
    <w:rsid w:val="00E6256E"/>
    <w:rsid w:val="00E6294B"/>
    <w:rsid w:val="00E62FDA"/>
    <w:rsid w:val="00E6312F"/>
    <w:rsid w:val="00E631CD"/>
    <w:rsid w:val="00E6349A"/>
    <w:rsid w:val="00E63C12"/>
    <w:rsid w:val="00E64507"/>
    <w:rsid w:val="00E64862"/>
    <w:rsid w:val="00E64E9D"/>
    <w:rsid w:val="00E64F3E"/>
    <w:rsid w:val="00E65BB6"/>
    <w:rsid w:val="00E66119"/>
    <w:rsid w:val="00E66195"/>
    <w:rsid w:val="00E67811"/>
    <w:rsid w:val="00E67C20"/>
    <w:rsid w:val="00E67D62"/>
    <w:rsid w:val="00E7004D"/>
    <w:rsid w:val="00E703F9"/>
    <w:rsid w:val="00E70534"/>
    <w:rsid w:val="00E707FC"/>
    <w:rsid w:val="00E70F44"/>
    <w:rsid w:val="00E71108"/>
    <w:rsid w:val="00E71316"/>
    <w:rsid w:val="00E713CF"/>
    <w:rsid w:val="00E71EDE"/>
    <w:rsid w:val="00E728DD"/>
    <w:rsid w:val="00E72BA1"/>
    <w:rsid w:val="00E738DB"/>
    <w:rsid w:val="00E73BA5"/>
    <w:rsid w:val="00E73D9D"/>
    <w:rsid w:val="00E74140"/>
    <w:rsid w:val="00E7436E"/>
    <w:rsid w:val="00E76ABB"/>
    <w:rsid w:val="00E76DB8"/>
    <w:rsid w:val="00E77978"/>
    <w:rsid w:val="00E800FD"/>
    <w:rsid w:val="00E8077E"/>
    <w:rsid w:val="00E809C1"/>
    <w:rsid w:val="00E81637"/>
    <w:rsid w:val="00E81734"/>
    <w:rsid w:val="00E8199D"/>
    <w:rsid w:val="00E83400"/>
    <w:rsid w:val="00E835A2"/>
    <w:rsid w:val="00E835F2"/>
    <w:rsid w:val="00E859DA"/>
    <w:rsid w:val="00E85AF6"/>
    <w:rsid w:val="00E862F4"/>
    <w:rsid w:val="00E86850"/>
    <w:rsid w:val="00E869C8"/>
    <w:rsid w:val="00E87287"/>
    <w:rsid w:val="00E873E1"/>
    <w:rsid w:val="00E87C96"/>
    <w:rsid w:val="00E87CF9"/>
    <w:rsid w:val="00E87EA6"/>
    <w:rsid w:val="00E90134"/>
    <w:rsid w:val="00E90786"/>
    <w:rsid w:val="00E90BAD"/>
    <w:rsid w:val="00E90C38"/>
    <w:rsid w:val="00E90DA3"/>
    <w:rsid w:val="00E9137C"/>
    <w:rsid w:val="00E915E2"/>
    <w:rsid w:val="00E91B21"/>
    <w:rsid w:val="00E91B9C"/>
    <w:rsid w:val="00E92279"/>
    <w:rsid w:val="00E9228E"/>
    <w:rsid w:val="00E922BA"/>
    <w:rsid w:val="00E923EC"/>
    <w:rsid w:val="00E92758"/>
    <w:rsid w:val="00E928F4"/>
    <w:rsid w:val="00E92D41"/>
    <w:rsid w:val="00E92DD4"/>
    <w:rsid w:val="00E930DA"/>
    <w:rsid w:val="00E93EC9"/>
    <w:rsid w:val="00E93F3A"/>
    <w:rsid w:val="00E9418D"/>
    <w:rsid w:val="00E945A5"/>
    <w:rsid w:val="00E94D37"/>
    <w:rsid w:val="00E94F2A"/>
    <w:rsid w:val="00E9515B"/>
    <w:rsid w:val="00E952A9"/>
    <w:rsid w:val="00E953D6"/>
    <w:rsid w:val="00E9554E"/>
    <w:rsid w:val="00E961D6"/>
    <w:rsid w:val="00E96308"/>
    <w:rsid w:val="00E9640D"/>
    <w:rsid w:val="00E97205"/>
    <w:rsid w:val="00E97420"/>
    <w:rsid w:val="00E9797B"/>
    <w:rsid w:val="00E97B59"/>
    <w:rsid w:val="00E97B9A"/>
    <w:rsid w:val="00EA01C4"/>
    <w:rsid w:val="00EA0AC6"/>
    <w:rsid w:val="00EA0B02"/>
    <w:rsid w:val="00EA107D"/>
    <w:rsid w:val="00EA11D2"/>
    <w:rsid w:val="00EA2615"/>
    <w:rsid w:val="00EA26FF"/>
    <w:rsid w:val="00EA2925"/>
    <w:rsid w:val="00EA29BF"/>
    <w:rsid w:val="00EA2D50"/>
    <w:rsid w:val="00EA3A40"/>
    <w:rsid w:val="00EA3FFE"/>
    <w:rsid w:val="00EA4363"/>
    <w:rsid w:val="00EA4C9C"/>
    <w:rsid w:val="00EA569C"/>
    <w:rsid w:val="00EA69DE"/>
    <w:rsid w:val="00EA6FA6"/>
    <w:rsid w:val="00EA70FD"/>
    <w:rsid w:val="00EA7994"/>
    <w:rsid w:val="00EA7FFA"/>
    <w:rsid w:val="00EB03BD"/>
    <w:rsid w:val="00EB12E2"/>
    <w:rsid w:val="00EB14E5"/>
    <w:rsid w:val="00EB15A1"/>
    <w:rsid w:val="00EB15D3"/>
    <w:rsid w:val="00EB1C0D"/>
    <w:rsid w:val="00EB2097"/>
    <w:rsid w:val="00EB212B"/>
    <w:rsid w:val="00EB2C29"/>
    <w:rsid w:val="00EB350D"/>
    <w:rsid w:val="00EB3CBA"/>
    <w:rsid w:val="00EB3F37"/>
    <w:rsid w:val="00EB4133"/>
    <w:rsid w:val="00EB4932"/>
    <w:rsid w:val="00EB4B51"/>
    <w:rsid w:val="00EB4C14"/>
    <w:rsid w:val="00EB540C"/>
    <w:rsid w:val="00EB549E"/>
    <w:rsid w:val="00EB5BD0"/>
    <w:rsid w:val="00EB5C36"/>
    <w:rsid w:val="00EB5FA3"/>
    <w:rsid w:val="00EB62ED"/>
    <w:rsid w:val="00EB6791"/>
    <w:rsid w:val="00EB6A53"/>
    <w:rsid w:val="00EB6BD1"/>
    <w:rsid w:val="00EB6DB1"/>
    <w:rsid w:val="00EB6F1C"/>
    <w:rsid w:val="00EB72C2"/>
    <w:rsid w:val="00EB78AE"/>
    <w:rsid w:val="00EB7D40"/>
    <w:rsid w:val="00EC039C"/>
    <w:rsid w:val="00EC09D4"/>
    <w:rsid w:val="00EC0A2E"/>
    <w:rsid w:val="00EC0C1D"/>
    <w:rsid w:val="00EC107F"/>
    <w:rsid w:val="00EC1909"/>
    <w:rsid w:val="00EC1D0E"/>
    <w:rsid w:val="00EC1D3F"/>
    <w:rsid w:val="00EC1D9E"/>
    <w:rsid w:val="00EC209B"/>
    <w:rsid w:val="00EC23AD"/>
    <w:rsid w:val="00EC2601"/>
    <w:rsid w:val="00EC27F4"/>
    <w:rsid w:val="00EC2D2C"/>
    <w:rsid w:val="00EC2E22"/>
    <w:rsid w:val="00EC3319"/>
    <w:rsid w:val="00EC351B"/>
    <w:rsid w:val="00EC396A"/>
    <w:rsid w:val="00EC444B"/>
    <w:rsid w:val="00EC4AC0"/>
    <w:rsid w:val="00EC4B1A"/>
    <w:rsid w:val="00EC4FF1"/>
    <w:rsid w:val="00EC524A"/>
    <w:rsid w:val="00EC5521"/>
    <w:rsid w:val="00EC570B"/>
    <w:rsid w:val="00EC5766"/>
    <w:rsid w:val="00EC57CC"/>
    <w:rsid w:val="00EC5DA0"/>
    <w:rsid w:val="00EC6379"/>
    <w:rsid w:val="00EC6E81"/>
    <w:rsid w:val="00EC713C"/>
    <w:rsid w:val="00EC76FB"/>
    <w:rsid w:val="00EC777B"/>
    <w:rsid w:val="00EC784C"/>
    <w:rsid w:val="00EC7C94"/>
    <w:rsid w:val="00ED0508"/>
    <w:rsid w:val="00ED05E5"/>
    <w:rsid w:val="00ED076B"/>
    <w:rsid w:val="00ED089C"/>
    <w:rsid w:val="00ED1073"/>
    <w:rsid w:val="00ED10DD"/>
    <w:rsid w:val="00ED1389"/>
    <w:rsid w:val="00ED149B"/>
    <w:rsid w:val="00ED1A19"/>
    <w:rsid w:val="00ED1FD5"/>
    <w:rsid w:val="00ED207E"/>
    <w:rsid w:val="00ED213B"/>
    <w:rsid w:val="00ED2306"/>
    <w:rsid w:val="00ED2346"/>
    <w:rsid w:val="00ED2380"/>
    <w:rsid w:val="00ED256B"/>
    <w:rsid w:val="00ED25F9"/>
    <w:rsid w:val="00ED275E"/>
    <w:rsid w:val="00ED28A2"/>
    <w:rsid w:val="00ED2914"/>
    <w:rsid w:val="00ED2C9A"/>
    <w:rsid w:val="00ED35AA"/>
    <w:rsid w:val="00ED384E"/>
    <w:rsid w:val="00ED392E"/>
    <w:rsid w:val="00ED4286"/>
    <w:rsid w:val="00ED469F"/>
    <w:rsid w:val="00ED58D8"/>
    <w:rsid w:val="00ED5C8D"/>
    <w:rsid w:val="00ED6033"/>
    <w:rsid w:val="00ED605B"/>
    <w:rsid w:val="00ED6B0C"/>
    <w:rsid w:val="00ED7464"/>
    <w:rsid w:val="00ED7F56"/>
    <w:rsid w:val="00EE031B"/>
    <w:rsid w:val="00EE045B"/>
    <w:rsid w:val="00EE0C88"/>
    <w:rsid w:val="00EE16CA"/>
    <w:rsid w:val="00EE1B7A"/>
    <w:rsid w:val="00EE2B89"/>
    <w:rsid w:val="00EE387E"/>
    <w:rsid w:val="00EE39CC"/>
    <w:rsid w:val="00EE3BD2"/>
    <w:rsid w:val="00EE4728"/>
    <w:rsid w:val="00EE495D"/>
    <w:rsid w:val="00EE4CC8"/>
    <w:rsid w:val="00EE4E3D"/>
    <w:rsid w:val="00EE4E66"/>
    <w:rsid w:val="00EE57AF"/>
    <w:rsid w:val="00EE5827"/>
    <w:rsid w:val="00EE5849"/>
    <w:rsid w:val="00EE5968"/>
    <w:rsid w:val="00EE5C8C"/>
    <w:rsid w:val="00EE5EFA"/>
    <w:rsid w:val="00EE64DF"/>
    <w:rsid w:val="00EE64F2"/>
    <w:rsid w:val="00EE6964"/>
    <w:rsid w:val="00EE6A3E"/>
    <w:rsid w:val="00EE6AC6"/>
    <w:rsid w:val="00EE6B7C"/>
    <w:rsid w:val="00EE6CFA"/>
    <w:rsid w:val="00EE7E7D"/>
    <w:rsid w:val="00EF005C"/>
    <w:rsid w:val="00EF00AD"/>
    <w:rsid w:val="00EF151F"/>
    <w:rsid w:val="00EF1BA1"/>
    <w:rsid w:val="00EF1F47"/>
    <w:rsid w:val="00EF2E4E"/>
    <w:rsid w:val="00EF3A63"/>
    <w:rsid w:val="00EF3A92"/>
    <w:rsid w:val="00EF3EE0"/>
    <w:rsid w:val="00EF3FF1"/>
    <w:rsid w:val="00EF41AA"/>
    <w:rsid w:val="00EF4669"/>
    <w:rsid w:val="00EF49A5"/>
    <w:rsid w:val="00EF4A5A"/>
    <w:rsid w:val="00EF4D0B"/>
    <w:rsid w:val="00EF5143"/>
    <w:rsid w:val="00EF52E9"/>
    <w:rsid w:val="00EF531F"/>
    <w:rsid w:val="00EF5996"/>
    <w:rsid w:val="00EF5A54"/>
    <w:rsid w:val="00EF5AF5"/>
    <w:rsid w:val="00EF60FB"/>
    <w:rsid w:val="00EF64D7"/>
    <w:rsid w:val="00EF6745"/>
    <w:rsid w:val="00EF6CAE"/>
    <w:rsid w:val="00EF6D70"/>
    <w:rsid w:val="00EF7522"/>
    <w:rsid w:val="00EF7E19"/>
    <w:rsid w:val="00EF7F6F"/>
    <w:rsid w:val="00EF7FBD"/>
    <w:rsid w:val="00F002F6"/>
    <w:rsid w:val="00F00C83"/>
    <w:rsid w:val="00F00D8F"/>
    <w:rsid w:val="00F0147A"/>
    <w:rsid w:val="00F02145"/>
    <w:rsid w:val="00F0219A"/>
    <w:rsid w:val="00F039AD"/>
    <w:rsid w:val="00F03D3F"/>
    <w:rsid w:val="00F03D45"/>
    <w:rsid w:val="00F03F70"/>
    <w:rsid w:val="00F0462F"/>
    <w:rsid w:val="00F0467A"/>
    <w:rsid w:val="00F047EC"/>
    <w:rsid w:val="00F04897"/>
    <w:rsid w:val="00F04E35"/>
    <w:rsid w:val="00F05797"/>
    <w:rsid w:val="00F05979"/>
    <w:rsid w:val="00F06F43"/>
    <w:rsid w:val="00F07664"/>
    <w:rsid w:val="00F079B7"/>
    <w:rsid w:val="00F07E65"/>
    <w:rsid w:val="00F07FB1"/>
    <w:rsid w:val="00F1067B"/>
    <w:rsid w:val="00F11283"/>
    <w:rsid w:val="00F112CA"/>
    <w:rsid w:val="00F116C7"/>
    <w:rsid w:val="00F1184E"/>
    <w:rsid w:val="00F1198B"/>
    <w:rsid w:val="00F11EE8"/>
    <w:rsid w:val="00F12164"/>
    <w:rsid w:val="00F12627"/>
    <w:rsid w:val="00F126BE"/>
    <w:rsid w:val="00F1282D"/>
    <w:rsid w:val="00F12E5B"/>
    <w:rsid w:val="00F12F01"/>
    <w:rsid w:val="00F1315E"/>
    <w:rsid w:val="00F13197"/>
    <w:rsid w:val="00F13284"/>
    <w:rsid w:val="00F134FB"/>
    <w:rsid w:val="00F1374E"/>
    <w:rsid w:val="00F137A5"/>
    <w:rsid w:val="00F13C53"/>
    <w:rsid w:val="00F13F54"/>
    <w:rsid w:val="00F1492C"/>
    <w:rsid w:val="00F14BE3"/>
    <w:rsid w:val="00F14C43"/>
    <w:rsid w:val="00F14DAE"/>
    <w:rsid w:val="00F15B69"/>
    <w:rsid w:val="00F15F82"/>
    <w:rsid w:val="00F16E5A"/>
    <w:rsid w:val="00F175A7"/>
    <w:rsid w:val="00F1777A"/>
    <w:rsid w:val="00F17FB2"/>
    <w:rsid w:val="00F20242"/>
    <w:rsid w:val="00F2032C"/>
    <w:rsid w:val="00F20A4A"/>
    <w:rsid w:val="00F20F7B"/>
    <w:rsid w:val="00F21193"/>
    <w:rsid w:val="00F21A28"/>
    <w:rsid w:val="00F21A6F"/>
    <w:rsid w:val="00F21BC9"/>
    <w:rsid w:val="00F223ED"/>
    <w:rsid w:val="00F2246B"/>
    <w:rsid w:val="00F227CE"/>
    <w:rsid w:val="00F22F54"/>
    <w:rsid w:val="00F23DE9"/>
    <w:rsid w:val="00F247E7"/>
    <w:rsid w:val="00F247EF"/>
    <w:rsid w:val="00F2496B"/>
    <w:rsid w:val="00F24B59"/>
    <w:rsid w:val="00F24C78"/>
    <w:rsid w:val="00F24CB2"/>
    <w:rsid w:val="00F25A38"/>
    <w:rsid w:val="00F25B59"/>
    <w:rsid w:val="00F26F09"/>
    <w:rsid w:val="00F26F9E"/>
    <w:rsid w:val="00F26FB9"/>
    <w:rsid w:val="00F27500"/>
    <w:rsid w:val="00F2762C"/>
    <w:rsid w:val="00F27BD7"/>
    <w:rsid w:val="00F30FEA"/>
    <w:rsid w:val="00F3145F"/>
    <w:rsid w:val="00F31994"/>
    <w:rsid w:val="00F31DCD"/>
    <w:rsid w:val="00F329F7"/>
    <w:rsid w:val="00F32EDF"/>
    <w:rsid w:val="00F33CED"/>
    <w:rsid w:val="00F34388"/>
    <w:rsid w:val="00F347E3"/>
    <w:rsid w:val="00F34EC0"/>
    <w:rsid w:val="00F35586"/>
    <w:rsid w:val="00F355A3"/>
    <w:rsid w:val="00F357F5"/>
    <w:rsid w:val="00F35E7A"/>
    <w:rsid w:val="00F3667F"/>
    <w:rsid w:val="00F3680F"/>
    <w:rsid w:val="00F371C9"/>
    <w:rsid w:val="00F3758C"/>
    <w:rsid w:val="00F37A36"/>
    <w:rsid w:val="00F37E21"/>
    <w:rsid w:val="00F37FB5"/>
    <w:rsid w:val="00F37FBB"/>
    <w:rsid w:val="00F400D2"/>
    <w:rsid w:val="00F40483"/>
    <w:rsid w:val="00F4090E"/>
    <w:rsid w:val="00F40BCB"/>
    <w:rsid w:val="00F40D26"/>
    <w:rsid w:val="00F40E4F"/>
    <w:rsid w:val="00F410A9"/>
    <w:rsid w:val="00F41356"/>
    <w:rsid w:val="00F41670"/>
    <w:rsid w:val="00F4189E"/>
    <w:rsid w:val="00F41B00"/>
    <w:rsid w:val="00F42161"/>
    <w:rsid w:val="00F42497"/>
    <w:rsid w:val="00F42643"/>
    <w:rsid w:val="00F4361C"/>
    <w:rsid w:val="00F43A1B"/>
    <w:rsid w:val="00F43A34"/>
    <w:rsid w:val="00F443DE"/>
    <w:rsid w:val="00F451C5"/>
    <w:rsid w:val="00F45264"/>
    <w:rsid w:val="00F45488"/>
    <w:rsid w:val="00F45CD7"/>
    <w:rsid w:val="00F45D6A"/>
    <w:rsid w:val="00F4644B"/>
    <w:rsid w:val="00F47467"/>
    <w:rsid w:val="00F475A3"/>
    <w:rsid w:val="00F47AC2"/>
    <w:rsid w:val="00F47B9F"/>
    <w:rsid w:val="00F5016F"/>
    <w:rsid w:val="00F5037C"/>
    <w:rsid w:val="00F5148C"/>
    <w:rsid w:val="00F51949"/>
    <w:rsid w:val="00F519E4"/>
    <w:rsid w:val="00F51DB4"/>
    <w:rsid w:val="00F5214F"/>
    <w:rsid w:val="00F5311D"/>
    <w:rsid w:val="00F532AB"/>
    <w:rsid w:val="00F5372B"/>
    <w:rsid w:val="00F53F26"/>
    <w:rsid w:val="00F54C62"/>
    <w:rsid w:val="00F555D0"/>
    <w:rsid w:val="00F55905"/>
    <w:rsid w:val="00F55C45"/>
    <w:rsid w:val="00F55E18"/>
    <w:rsid w:val="00F5622B"/>
    <w:rsid w:val="00F56802"/>
    <w:rsid w:val="00F5691C"/>
    <w:rsid w:val="00F56E44"/>
    <w:rsid w:val="00F57006"/>
    <w:rsid w:val="00F570E2"/>
    <w:rsid w:val="00F571AA"/>
    <w:rsid w:val="00F57ABD"/>
    <w:rsid w:val="00F6008A"/>
    <w:rsid w:val="00F601B2"/>
    <w:rsid w:val="00F6095D"/>
    <w:rsid w:val="00F609DA"/>
    <w:rsid w:val="00F60C3B"/>
    <w:rsid w:val="00F613C2"/>
    <w:rsid w:val="00F616E0"/>
    <w:rsid w:val="00F61905"/>
    <w:rsid w:val="00F61933"/>
    <w:rsid w:val="00F61A77"/>
    <w:rsid w:val="00F6235D"/>
    <w:rsid w:val="00F62527"/>
    <w:rsid w:val="00F62D05"/>
    <w:rsid w:val="00F6341C"/>
    <w:rsid w:val="00F63865"/>
    <w:rsid w:val="00F64088"/>
    <w:rsid w:val="00F6414F"/>
    <w:rsid w:val="00F64404"/>
    <w:rsid w:val="00F644D4"/>
    <w:rsid w:val="00F64784"/>
    <w:rsid w:val="00F65584"/>
    <w:rsid w:val="00F655DF"/>
    <w:rsid w:val="00F656AD"/>
    <w:rsid w:val="00F6570D"/>
    <w:rsid w:val="00F65CA5"/>
    <w:rsid w:val="00F65E50"/>
    <w:rsid w:val="00F6609F"/>
    <w:rsid w:val="00F6640E"/>
    <w:rsid w:val="00F66466"/>
    <w:rsid w:val="00F668DE"/>
    <w:rsid w:val="00F66AB2"/>
    <w:rsid w:val="00F66E9B"/>
    <w:rsid w:val="00F6791F"/>
    <w:rsid w:val="00F67FBA"/>
    <w:rsid w:val="00F719FC"/>
    <w:rsid w:val="00F71B9F"/>
    <w:rsid w:val="00F72031"/>
    <w:rsid w:val="00F72084"/>
    <w:rsid w:val="00F7229E"/>
    <w:rsid w:val="00F72396"/>
    <w:rsid w:val="00F72CCE"/>
    <w:rsid w:val="00F73047"/>
    <w:rsid w:val="00F7340F"/>
    <w:rsid w:val="00F7351B"/>
    <w:rsid w:val="00F73FF1"/>
    <w:rsid w:val="00F74065"/>
    <w:rsid w:val="00F740D1"/>
    <w:rsid w:val="00F74D9B"/>
    <w:rsid w:val="00F74F14"/>
    <w:rsid w:val="00F7541B"/>
    <w:rsid w:val="00F75507"/>
    <w:rsid w:val="00F75DA0"/>
    <w:rsid w:val="00F77309"/>
    <w:rsid w:val="00F7752D"/>
    <w:rsid w:val="00F77D25"/>
    <w:rsid w:val="00F801AB"/>
    <w:rsid w:val="00F801B3"/>
    <w:rsid w:val="00F803C4"/>
    <w:rsid w:val="00F804D8"/>
    <w:rsid w:val="00F8099C"/>
    <w:rsid w:val="00F810E0"/>
    <w:rsid w:val="00F81A78"/>
    <w:rsid w:val="00F81B83"/>
    <w:rsid w:val="00F83067"/>
    <w:rsid w:val="00F830F4"/>
    <w:rsid w:val="00F832D9"/>
    <w:rsid w:val="00F83562"/>
    <w:rsid w:val="00F848BC"/>
    <w:rsid w:val="00F85398"/>
    <w:rsid w:val="00F86417"/>
    <w:rsid w:val="00F867F5"/>
    <w:rsid w:val="00F86A21"/>
    <w:rsid w:val="00F87845"/>
    <w:rsid w:val="00F87C66"/>
    <w:rsid w:val="00F87EFF"/>
    <w:rsid w:val="00F90348"/>
    <w:rsid w:val="00F907CE"/>
    <w:rsid w:val="00F90A23"/>
    <w:rsid w:val="00F90C8C"/>
    <w:rsid w:val="00F90F5B"/>
    <w:rsid w:val="00F91A4B"/>
    <w:rsid w:val="00F928B6"/>
    <w:rsid w:val="00F92B19"/>
    <w:rsid w:val="00F930B2"/>
    <w:rsid w:val="00F93197"/>
    <w:rsid w:val="00F93347"/>
    <w:rsid w:val="00F9355F"/>
    <w:rsid w:val="00F93630"/>
    <w:rsid w:val="00F93FD8"/>
    <w:rsid w:val="00F94018"/>
    <w:rsid w:val="00F94353"/>
    <w:rsid w:val="00F9438B"/>
    <w:rsid w:val="00F945BD"/>
    <w:rsid w:val="00F94779"/>
    <w:rsid w:val="00F948FF"/>
    <w:rsid w:val="00F94B5E"/>
    <w:rsid w:val="00F94F8A"/>
    <w:rsid w:val="00F956F1"/>
    <w:rsid w:val="00F95A9F"/>
    <w:rsid w:val="00F9655D"/>
    <w:rsid w:val="00F96FE3"/>
    <w:rsid w:val="00F97025"/>
    <w:rsid w:val="00F972F9"/>
    <w:rsid w:val="00F9773D"/>
    <w:rsid w:val="00FA0647"/>
    <w:rsid w:val="00FA1642"/>
    <w:rsid w:val="00FA1AC2"/>
    <w:rsid w:val="00FA240E"/>
    <w:rsid w:val="00FA2726"/>
    <w:rsid w:val="00FA2A73"/>
    <w:rsid w:val="00FA2C2E"/>
    <w:rsid w:val="00FA2F5F"/>
    <w:rsid w:val="00FA3092"/>
    <w:rsid w:val="00FA3237"/>
    <w:rsid w:val="00FA3559"/>
    <w:rsid w:val="00FA3BFB"/>
    <w:rsid w:val="00FA4586"/>
    <w:rsid w:val="00FA4EE6"/>
    <w:rsid w:val="00FA54E5"/>
    <w:rsid w:val="00FA5A0B"/>
    <w:rsid w:val="00FA5CF3"/>
    <w:rsid w:val="00FA6123"/>
    <w:rsid w:val="00FA623D"/>
    <w:rsid w:val="00FA6807"/>
    <w:rsid w:val="00FA6E00"/>
    <w:rsid w:val="00FA6E4F"/>
    <w:rsid w:val="00FA6F97"/>
    <w:rsid w:val="00FA7B39"/>
    <w:rsid w:val="00FB03F3"/>
    <w:rsid w:val="00FB065B"/>
    <w:rsid w:val="00FB0A97"/>
    <w:rsid w:val="00FB0E09"/>
    <w:rsid w:val="00FB1066"/>
    <w:rsid w:val="00FB1297"/>
    <w:rsid w:val="00FB1564"/>
    <w:rsid w:val="00FB1BEC"/>
    <w:rsid w:val="00FB1E3A"/>
    <w:rsid w:val="00FB39C3"/>
    <w:rsid w:val="00FB3C09"/>
    <w:rsid w:val="00FB3C9F"/>
    <w:rsid w:val="00FB40EA"/>
    <w:rsid w:val="00FB41CF"/>
    <w:rsid w:val="00FB4B73"/>
    <w:rsid w:val="00FB4BB4"/>
    <w:rsid w:val="00FB51A9"/>
    <w:rsid w:val="00FB58A6"/>
    <w:rsid w:val="00FB59C9"/>
    <w:rsid w:val="00FB5AF2"/>
    <w:rsid w:val="00FB65C9"/>
    <w:rsid w:val="00FB66B1"/>
    <w:rsid w:val="00FB708E"/>
    <w:rsid w:val="00FB7505"/>
    <w:rsid w:val="00FB7F13"/>
    <w:rsid w:val="00FC0AB8"/>
    <w:rsid w:val="00FC0C86"/>
    <w:rsid w:val="00FC0E64"/>
    <w:rsid w:val="00FC0F71"/>
    <w:rsid w:val="00FC0FEE"/>
    <w:rsid w:val="00FC138E"/>
    <w:rsid w:val="00FC145A"/>
    <w:rsid w:val="00FC1639"/>
    <w:rsid w:val="00FC183C"/>
    <w:rsid w:val="00FC1C3E"/>
    <w:rsid w:val="00FC2404"/>
    <w:rsid w:val="00FC24DA"/>
    <w:rsid w:val="00FC24FD"/>
    <w:rsid w:val="00FC26FF"/>
    <w:rsid w:val="00FC2731"/>
    <w:rsid w:val="00FC31BF"/>
    <w:rsid w:val="00FC37EE"/>
    <w:rsid w:val="00FC3EE3"/>
    <w:rsid w:val="00FC43F0"/>
    <w:rsid w:val="00FC464E"/>
    <w:rsid w:val="00FC4E04"/>
    <w:rsid w:val="00FC4EF7"/>
    <w:rsid w:val="00FC534A"/>
    <w:rsid w:val="00FC5AD0"/>
    <w:rsid w:val="00FC5B9A"/>
    <w:rsid w:val="00FC60FD"/>
    <w:rsid w:val="00FC6341"/>
    <w:rsid w:val="00FC65D4"/>
    <w:rsid w:val="00FC6A30"/>
    <w:rsid w:val="00FC6F75"/>
    <w:rsid w:val="00FC71CC"/>
    <w:rsid w:val="00FC7A03"/>
    <w:rsid w:val="00FC7A73"/>
    <w:rsid w:val="00FC7C4E"/>
    <w:rsid w:val="00FC7E5B"/>
    <w:rsid w:val="00FD041A"/>
    <w:rsid w:val="00FD0E7E"/>
    <w:rsid w:val="00FD0FA1"/>
    <w:rsid w:val="00FD120E"/>
    <w:rsid w:val="00FD1249"/>
    <w:rsid w:val="00FD1D0D"/>
    <w:rsid w:val="00FD2115"/>
    <w:rsid w:val="00FD2380"/>
    <w:rsid w:val="00FD27D1"/>
    <w:rsid w:val="00FD294A"/>
    <w:rsid w:val="00FD2A72"/>
    <w:rsid w:val="00FD2AE3"/>
    <w:rsid w:val="00FD3006"/>
    <w:rsid w:val="00FD399C"/>
    <w:rsid w:val="00FD3C21"/>
    <w:rsid w:val="00FD3FD3"/>
    <w:rsid w:val="00FD55C9"/>
    <w:rsid w:val="00FD55D7"/>
    <w:rsid w:val="00FD5622"/>
    <w:rsid w:val="00FD580E"/>
    <w:rsid w:val="00FD5E43"/>
    <w:rsid w:val="00FD5EB4"/>
    <w:rsid w:val="00FD6126"/>
    <w:rsid w:val="00FD65F1"/>
    <w:rsid w:val="00FD6CD1"/>
    <w:rsid w:val="00FD6DE2"/>
    <w:rsid w:val="00FD7238"/>
    <w:rsid w:val="00FD745F"/>
    <w:rsid w:val="00FD7E70"/>
    <w:rsid w:val="00FE00D8"/>
    <w:rsid w:val="00FE03A7"/>
    <w:rsid w:val="00FE126B"/>
    <w:rsid w:val="00FE150C"/>
    <w:rsid w:val="00FE1A0B"/>
    <w:rsid w:val="00FE1ADC"/>
    <w:rsid w:val="00FE226B"/>
    <w:rsid w:val="00FE2C75"/>
    <w:rsid w:val="00FE33A6"/>
    <w:rsid w:val="00FE3B94"/>
    <w:rsid w:val="00FE56C1"/>
    <w:rsid w:val="00FE5CEB"/>
    <w:rsid w:val="00FE6354"/>
    <w:rsid w:val="00FE66CE"/>
    <w:rsid w:val="00FE6BB0"/>
    <w:rsid w:val="00FE7808"/>
    <w:rsid w:val="00FE7F0B"/>
    <w:rsid w:val="00FF0279"/>
    <w:rsid w:val="00FF0DF9"/>
    <w:rsid w:val="00FF0EA9"/>
    <w:rsid w:val="00FF0F96"/>
    <w:rsid w:val="00FF1345"/>
    <w:rsid w:val="00FF136B"/>
    <w:rsid w:val="00FF13E2"/>
    <w:rsid w:val="00FF151C"/>
    <w:rsid w:val="00FF1639"/>
    <w:rsid w:val="00FF1685"/>
    <w:rsid w:val="00FF2C43"/>
    <w:rsid w:val="00FF3FFE"/>
    <w:rsid w:val="00FF40AA"/>
    <w:rsid w:val="00FF4501"/>
    <w:rsid w:val="00FF49BF"/>
    <w:rsid w:val="00FF4B6A"/>
    <w:rsid w:val="00FF5250"/>
    <w:rsid w:val="00FF5286"/>
    <w:rsid w:val="00FF5DD6"/>
    <w:rsid w:val="00FF60F9"/>
    <w:rsid w:val="00FF622F"/>
    <w:rsid w:val="00FF62D9"/>
    <w:rsid w:val="00FF6ED2"/>
    <w:rsid w:val="00FF70DC"/>
    <w:rsid w:val="00FF7112"/>
    <w:rsid w:val="00FF7161"/>
    <w:rsid w:val="00FF71EE"/>
    <w:rsid w:val="00FF7272"/>
    <w:rsid w:val="00FF7449"/>
    <w:rsid w:val="00FF7585"/>
    <w:rsid w:val="00FF7622"/>
    <w:rsid w:val="00FF7E56"/>
    <w:rsid w:val="021F0B76"/>
    <w:rsid w:val="051C4A8C"/>
    <w:rsid w:val="1D2C5CCF"/>
    <w:rsid w:val="2C7B0E83"/>
    <w:rsid w:val="2E0768FC"/>
    <w:rsid w:val="37DC56AC"/>
    <w:rsid w:val="3AF90F16"/>
    <w:rsid w:val="3E6134CC"/>
    <w:rsid w:val="4D801699"/>
    <w:rsid w:val="555C6DB5"/>
    <w:rsid w:val="57DE11BC"/>
    <w:rsid w:val="5A6C4FFA"/>
    <w:rsid w:val="5DBC72B3"/>
    <w:rsid w:val="60C70ED6"/>
    <w:rsid w:val="786D1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41"/>
    <w:qFormat/>
    <w:uiPriority w:val="9"/>
    <w:pPr>
      <w:keepNext/>
      <w:keepLines/>
      <w:pageBreakBefore/>
      <w:widowControl/>
      <w:numPr>
        <w:ilvl w:val="0"/>
        <w:numId w:val="1"/>
      </w:numPr>
      <w:spacing w:before="350" w:beforeLines="350" w:after="150" w:afterLines="150"/>
      <w:ind w:left="0" w:firstLine="0" w:firstLineChars="0"/>
      <w:jc w:val="center"/>
      <w:outlineLvl w:val="0"/>
    </w:pPr>
    <w:rPr>
      <w:rFonts w:ascii="方正小标宋_GBK" w:hAnsi="方正小标宋_GBK" w:eastAsia="方正小标宋简体"/>
      <w:bCs/>
      <w:kern w:val="44"/>
      <w:sz w:val="36"/>
      <w:szCs w:val="36"/>
    </w:rPr>
  </w:style>
  <w:style w:type="paragraph" w:styleId="3">
    <w:name w:val="heading 2"/>
    <w:basedOn w:val="1"/>
    <w:next w:val="1"/>
    <w:link w:val="42"/>
    <w:unhideWhenUsed/>
    <w:qFormat/>
    <w:uiPriority w:val="9"/>
    <w:pPr>
      <w:keepNext/>
      <w:keepLines/>
      <w:numPr>
        <w:ilvl w:val="1"/>
        <w:numId w:val="1"/>
      </w:numPr>
      <w:spacing w:before="100" w:beforeLines="100" w:after="100" w:afterLines="100"/>
      <w:ind w:left="0" w:firstLine="0" w:firstLineChars="0"/>
      <w:jc w:val="center"/>
      <w:outlineLvl w:val="1"/>
    </w:pPr>
    <w:rPr>
      <w:rFonts w:ascii="Cambria" w:hAnsi="Cambria" w:eastAsia="黑体"/>
      <w:bCs/>
      <w:szCs w:val="32"/>
    </w:rPr>
  </w:style>
  <w:style w:type="paragraph" w:styleId="4">
    <w:name w:val="heading 3"/>
    <w:basedOn w:val="5"/>
    <w:next w:val="1"/>
    <w:link w:val="44"/>
    <w:unhideWhenUsed/>
    <w:qFormat/>
    <w:uiPriority w:val="9"/>
    <w:pPr>
      <w:numPr>
        <w:ilvl w:val="2"/>
        <w:numId w:val="1"/>
      </w:numPr>
      <w:outlineLvl w:val="2"/>
    </w:pPr>
    <w:rPr>
      <w:rFonts w:eastAsia="黑体"/>
      <w:bCs/>
    </w:rPr>
  </w:style>
  <w:style w:type="paragraph" w:styleId="6">
    <w:name w:val="heading 4"/>
    <w:basedOn w:val="1"/>
    <w:next w:val="1"/>
    <w:link w:val="45"/>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46"/>
    <w:semiHidden/>
    <w:unhideWhenUsed/>
    <w:qFormat/>
    <w:uiPriority w:val="9"/>
    <w:pPr>
      <w:keepNext/>
      <w:keepLines/>
      <w:spacing w:before="280" w:after="290" w:line="374" w:lineRule="auto"/>
      <w:ind w:left="284" w:firstLine="0" w:firstLineChars="0"/>
      <w:outlineLvl w:val="4"/>
    </w:pPr>
    <w:rPr>
      <w:rFonts w:asciiTheme="minorHAnsi" w:hAnsiTheme="minorHAnsi" w:eastAsiaTheme="minorEastAsia" w:cstheme="minorBidi"/>
      <w:b/>
      <w:sz w:val="28"/>
      <w:szCs w:val="28"/>
    </w:rPr>
  </w:style>
  <w:style w:type="paragraph" w:styleId="8">
    <w:name w:val="heading 6"/>
    <w:basedOn w:val="1"/>
    <w:next w:val="1"/>
    <w:link w:val="47"/>
    <w:semiHidden/>
    <w:unhideWhenUsed/>
    <w:qFormat/>
    <w:uiPriority w:val="9"/>
    <w:pPr>
      <w:keepNext/>
      <w:keepLines/>
      <w:spacing w:before="240" w:after="64" w:line="319" w:lineRule="auto"/>
      <w:ind w:left="284" w:firstLine="0" w:firstLineChars="0"/>
      <w:outlineLvl w:val="5"/>
    </w:pPr>
    <w:rPr>
      <w:rFonts w:asciiTheme="majorHAnsi" w:hAnsiTheme="majorHAnsi" w:eastAsiaTheme="majorEastAsia" w:cstheme="majorBidi"/>
      <w:b/>
      <w:sz w:val="24"/>
      <w:szCs w:val="24"/>
    </w:rPr>
  </w:style>
  <w:style w:type="paragraph" w:styleId="9">
    <w:name w:val="heading 7"/>
    <w:basedOn w:val="1"/>
    <w:next w:val="1"/>
    <w:link w:val="48"/>
    <w:autoRedefine/>
    <w:semiHidden/>
    <w:unhideWhenUsed/>
    <w:qFormat/>
    <w:uiPriority w:val="9"/>
    <w:pPr>
      <w:keepNext/>
      <w:keepLines/>
      <w:spacing w:before="240" w:after="64" w:line="319" w:lineRule="auto"/>
      <w:ind w:left="284" w:firstLine="0" w:firstLineChars="0"/>
      <w:outlineLvl w:val="6"/>
    </w:pPr>
    <w:rPr>
      <w:rFonts w:asciiTheme="minorHAnsi" w:hAnsiTheme="minorHAnsi" w:eastAsiaTheme="minorEastAsia" w:cstheme="minorBidi"/>
      <w:b/>
      <w:sz w:val="24"/>
      <w:szCs w:val="24"/>
    </w:rPr>
  </w:style>
  <w:style w:type="paragraph" w:styleId="10">
    <w:name w:val="heading 8"/>
    <w:basedOn w:val="1"/>
    <w:next w:val="1"/>
    <w:link w:val="49"/>
    <w:semiHidden/>
    <w:unhideWhenUsed/>
    <w:qFormat/>
    <w:uiPriority w:val="9"/>
    <w:pPr>
      <w:keepNext/>
      <w:keepLines/>
      <w:spacing w:before="240" w:after="64" w:line="319" w:lineRule="auto"/>
      <w:ind w:left="284" w:firstLine="0" w:firstLineChars="0"/>
      <w:outlineLvl w:val="7"/>
    </w:pPr>
    <w:rPr>
      <w:rFonts w:asciiTheme="majorHAnsi" w:hAnsiTheme="majorHAnsi" w:eastAsiaTheme="majorEastAsia" w:cstheme="majorBidi"/>
      <w:bCs/>
      <w:sz w:val="24"/>
      <w:szCs w:val="24"/>
    </w:rPr>
  </w:style>
  <w:style w:type="paragraph" w:styleId="11">
    <w:name w:val="heading 9"/>
    <w:basedOn w:val="1"/>
    <w:next w:val="1"/>
    <w:link w:val="50"/>
    <w:semiHidden/>
    <w:unhideWhenUsed/>
    <w:qFormat/>
    <w:uiPriority w:val="9"/>
    <w:pPr>
      <w:keepNext/>
      <w:keepLines/>
      <w:spacing w:before="240" w:after="64" w:line="319" w:lineRule="auto"/>
      <w:ind w:left="284" w:firstLine="0" w:firstLineChars="0"/>
      <w:outlineLvl w:val="8"/>
    </w:pPr>
    <w:rPr>
      <w:rFonts w:asciiTheme="majorHAnsi" w:hAnsiTheme="majorHAnsi" w:eastAsiaTheme="majorEastAsia" w:cstheme="majorBidi"/>
      <w:bCs/>
      <w:sz w:val="21"/>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link w:val="43"/>
    <w:autoRedefine/>
    <w:qFormat/>
    <w:uiPriority w:val="34"/>
    <w:pPr>
      <w:numPr>
        <w:ilvl w:val="0"/>
        <w:numId w:val="2"/>
      </w:numPr>
      <w:ind w:firstLine="0" w:firstLineChars="0"/>
    </w:pPr>
  </w:style>
  <w:style w:type="paragraph" w:styleId="12">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rPr>
  </w:style>
  <w:style w:type="paragraph" w:styleId="13">
    <w:name w:val="caption"/>
    <w:basedOn w:val="1"/>
    <w:next w:val="1"/>
    <w:link w:val="111"/>
    <w:unhideWhenUsed/>
    <w:qFormat/>
    <w:uiPriority w:val="35"/>
    <w:rPr>
      <w:rFonts w:eastAsia="黑体" w:asciiTheme="majorHAnsi" w:hAnsiTheme="majorHAnsi" w:cstheme="majorBidi"/>
      <w:sz w:val="20"/>
      <w:szCs w:val="20"/>
    </w:rPr>
  </w:style>
  <w:style w:type="paragraph" w:styleId="14">
    <w:name w:val="Document Map"/>
    <w:basedOn w:val="1"/>
    <w:link w:val="94"/>
    <w:autoRedefine/>
    <w:semiHidden/>
    <w:unhideWhenUsed/>
    <w:qFormat/>
    <w:uiPriority w:val="99"/>
    <w:pPr>
      <w:ind w:firstLine="640"/>
    </w:pPr>
    <w:rPr>
      <w:rFonts w:ascii="宋体" w:eastAsia="宋体"/>
      <w:bCs/>
      <w:sz w:val="18"/>
      <w:szCs w:val="18"/>
    </w:rPr>
  </w:style>
  <w:style w:type="paragraph" w:styleId="15">
    <w:name w:val="annotation text"/>
    <w:basedOn w:val="1"/>
    <w:link w:val="64"/>
    <w:unhideWhenUsed/>
    <w:qFormat/>
    <w:uiPriority w:val="99"/>
    <w:pPr>
      <w:jc w:val="left"/>
    </w:pPr>
  </w:style>
  <w:style w:type="paragraph" w:styleId="16">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rPr>
  </w:style>
  <w:style w:type="paragraph" w:styleId="17">
    <w:name w:val="toc 3"/>
    <w:basedOn w:val="1"/>
    <w:next w:val="1"/>
    <w:autoRedefine/>
    <w:unhideWhenUsed/>
    <w:qFormat/>
    <w:uiPriority w:val="39"/>
    <w:pPr>
      <w:ind w:left="840" w:leftChars="400"/>
    </w:pPr>
  </w:style>
  <w:style w:type="paragraph" w:styleId="18">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cstheme="minorBidi"/>
      <w:sz w:val="21"/>
    </w:rPr>
  </w:style>
  <w:style w:type="paragraph" w:styleId="19">
    <w:name w:val="Date"/>
    <w:basedOn w:val="1"/>
    <w:next w:val="1"/>
    <w:link w:val="59"/>
    <w:semiHidden/>
    <w:unhideWhenUsed/>
    <w:qFormat/>
    <w:uiPriority w:val="99"/>
    <w:pPr>
      <w:ind w:left="100" w:leftChars="2500"/>
    </w:pPr>
  </w:style>
  <w:style w:type="paragraph" w:styleId="20">
    <w:name w:val="Balloon Text"/>
    <w:basedOn w:val="1"/>
    <w:link w:val="53"/>
    <w:semiHidden/>
    <w:unhideWhenUsed/>
    <w:qFormat/>
    <w:uiPriority w:val="99"/>
    <w:pPr>
      <w:spacing w:line="240" w:lineRule="auto"/>
    </w:pPr>
    <w:rPr>
      <w:sz w:val="18"/>
      <w:szCs w:val="18"/>
    </w:rPr>
  </w:style>
  <w:style w:type="paragraph" w:styleId="21">
    <w:name w:val="footer"/>
    <w:basedOn w:val="1"/>
    <w:link w:val="55"/>
    <w:unhideWhenUsed/>
    <w:qFormat/>
    <w:uiPriority w:val="99"/>
    <w:pPr>
      <w:tabs>
        <w:tab w:val="center" w:pos="4153"/>
        <w:tab w:val="right" w:pos="8306"/>
      </w:tabs>
      <w:snapToGrid w:val="0"/>
      <w:spacing w:line="240" w:lineRule="atLeast"/>
      <w:jc w:val="left"/>
    </w:pPr>
    <w:rPr>
      <w:sz w:val="18"/>
      <w:szCs w:val="18"/>
    </w:rPr>
  </w:style>
  <w:style w:type="paragraph" w:styleId="22">
    <w:name w:val="header"/>
    <w:basedOn w:val="1"/>
    <w:link w:val="54"/>
    <w:autoRedefine/>
    <w:unhideWhenUsed/>
    <w:qFormat/>
    <w:uiPriority w:val="99"/>
    <w:pP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pPr>
      <w:tabs>
        <w:tab w:val="left" w:pos="1418"/>
        <w:tab w:val="right" w:leader="dot" w:pos="8296"/>
      </w:tabs>
      <w:ind w:firstLine="0" w:firstLineChars="0"/>
    </w:pPr>
    <w:rPr>
      <w:rFonts w:eastAsia="黑体"/>
    </w:rPr>
  </w:style>
  <w:style w:type="paragraph" w:styleId="24">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rPr>
  </w:style>
  <w:style w:type="paragraph" w:styleId="25">
    <w:name w:val="Subtitle"/>
    <w:basedOn w:val="1"/>
    <w:next w:val="1"/>
    <w:link w:val="95"/>
    <w:qFormat/>
    <w:uiPriority w:val="11"/>
    <w:pPr>
      <w:ind w:firstLine="0" w:firstLineChars="0"/>
      <w:jc w:val="center"/>
    </w:pPr>
    <w:rPr>
      <w:rFonts w:ascii="楷体_GB2312" w:eastAsia="楷体_GB2312"/>
    </w:rPr>
  </w:style>
  <w:style w:type="paragraph" w:styleId="26">
    <w:name w:val="footnote text"/>
    <w:basedOn w:val="1"/>
    <w:link w:val="63"/>
    <w:semiHidden/>
    <w:unhideWhenUsed/>
    <w:qFormat/>
    <w:uiPriority w:val="99"/>
    <w:pPr>
      <w:snapToGrid w:val="0"/>
      <w:jc w:val="left"/>
    </w:pPr>
    <w:rPr>
      <w:sz w:val="18"/>
      <w:szCs w:val="18"/>
    </w:rPr>
  </w:style>
  <w:style w:type="paragraph" w:styleId="27">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rPr>
  </w:style>
  <w:style w:type="paragraph" w:styleId="28">
    <w:name w:val="toc 2"/>
    <w:basedOn w:val="1"/>
    <w:next w:val="1"/>
    <w:unhideWhenUsed/>
    <w:qFormat/>
    <w:uiPriority w:val="39"/>
    <w:pPr>
      <w:tabs>
        <w:tab w:val="left" w:pos="1680"/>
        <w:tab w:val="right" w:leader="dot" w:pos="8296"/>
      </w:tabs>
      <w:ind w:left="640" w:leftChars="200" w:firstLine="0" w:firstLineChars="0"/>
    </w:pPr>
    <w:rPr>
      <w:rFonts w:eastAsia="楷体_GB2312"/>
    </w:rPr>
  </w:style>
  <w:style w:type="paragraph" w:styleId="29">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rPr>
  </w:style>
  <w:style w:type="paragraph" w:styleId="30">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1">
    <w:name w:val="Title"/>
    <w:basedOn w:val="1"/>
    <w:next w:val="1"/>
    <w:link w:val="51"/>
    <w:qFormat/>
    <w:uiPriority w:val="10"/>
    <w:pPr>
      <w:spacing w:before="240" w:after="60"/>
      <w:jc w:val="center"/>
      <w:outlineLvl w:val="0"/>
    </w:pPr>
    <w:rPr>
      <w:rFonts w:ascii="Cambria" w:hAnsi="Cambria" w:eastAsia="宋体"/>
      <w:b/>
      <w:bCs/>
      <w:szCs w:val="32"/>
    </w:rPr>
  </w:style>
  <w:style w:type="paragraph" w:styleId="32">
    <w:name w:val="annotation subject"/>
    <w:basedOn w:val="15"/>
    <w:next w:val="15"/>
    <w:link w:val="65"/>
    <w:semiHidden/>
    <w:unhideWhenUsed/>
    <w:qFormat/>
    <w:uiPriority w:val="99"/>
    <w:rPr>
      <w:b/>
      <w:bCs/>
    </w:rPr>
  </w:style>
  <w:style w:type="table" w:styleId="34">
    <w:name w:val="Table Grid"/>
    <w:basedOn w:val="33"/>
    <w:qFormat/>
    <w:uiPriority w:val="9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rPr>
  </w:style>
  <w:style w:type="character" w:styleId="37">
    <w:name w:val="Emphasis"/>
    <w:basedOn w:val="35"/>
    <w:qFormat/>
    <w:uiPriority w:val="20"/>
    <w:rPr>
      <w:i/>
    </w:rPr>
  </w:style>
  <w:style w:type="character" w:styleId="38">
    <w:name w:val="Hyperlink"/>
    <w:basedOn w:val="35"/>
    <w:unhideWhenUsed/>
    <w:qFormat/>
    <w:uiPriority w:val="99"/>
    <w:rPr>
      <w:color w:val="0563C1" w:themeColor="hyperlink"/>
      <w:u w:val="single"/>
      <w14:textFill>
        <w14:solidFill>
          <w14:schemeClr w14:val="hlink"/>
        </w14:solidFill>
      </w14:textFill>
    </w:rPr>
  </w:style>
  <w:style w:type="character" w:styleId="39">
    <w:name w:val="annotation reference"/>
    <w:basedOn w:val="35"/>
    <w:semiHidden/>
    <w:unhideWhenUsed/>
    <w:qFormat/>
    <w:uiPriority w:val="99"/>
    <w:rPr>
      <w:sz w:val="21"/>
      <w:szCs w:val="21"/>
    </w:rPr>
  </w:style>
  <w:style w:type="character" w:styleId="40">
    <w:name w:val="footnote reference"/>
    <w:basedOn w:val="35"/>
    <w:autoRedefine/>
    <w:semiHidden/>
    <w:unhideWhenUsed/>
    <w:qFormat/>
    <w:uiPriority w:val="99"/>
    <w:rPr>
      <w:vertAlign w:val="superscript"/>
    </w:rPr>
  </w:style>
  <w:style w:type="character" w:customStyle="1" w:styleId="41">
    <w:name w:val="标题 1 字符"/>
    <w:link w:val="2"/>
    <w:qFormat/>
    <w:uiPriority w:val="9"/>
    <w:rPr>
      <w:rFonts w:ascii="方正小标宋_GBK" w:hAnsi="方正小标宋_GBK" w:eastAsia="方正小标宋简体"/>
      <w:bCs/>
      <w:kern w:val="44"/>
      <w:sz w:val="36"/>
      <w:szCs w:val="36"/>
    </w:rPr>
  </w:style>
  <w:style w:type="character" w:customStyle="1" w:styleId="42">
    <w:name w:val="标题 2 字符"/>
    <w:link w:val="3"/>
    <w:qFormat/>
    <w:uiPriority w:val="9"/>
    <w:rPr>
      <w:rFonts w:ascii="Cambria" w:hAnsi="Cambria" w:eastAsia="黑体"/>
      <w:bCs/>
      <w:kern w:val="2"/>
      <w:sz w:val="32"/>
      <w:szCs w:val="32"/>
    </w:rPr>
  </w:style>
  <w:style w:type="character" w:customStyle="1" w:styleId="43">
    <w:name w:val="列表段落 字符"/>
    <w:basedOn w:val="35"/>
    <w:link w:val="5"/>
    <w:qFormat/>
    <w:uiPriority w:val="34"/>
    <w:rPr>
      <w:rFonts w:ascii="Times New Roman" w:hAnsi="Times New Roman" w:eastAsia="仿宋_GB2312"/>
      <w:kern w:val="2"/>
      <w:sz w:val="32"/>
      <w:szCs w:val="22"/>
    </w:rPr>
  </w:style>
  <w:style w:type="character" w:customStyle="1" w:styleId="44">
    <w:name w:val="标题 3 字符"/>
    <w:link w:val="4"/>
    <w:qFormat/>
    <w:uiPriority w:val="9"/>
    <w:rPr>
      <w:rFonts w:ascii="Times New Roman" w:hAnsi="Times New Roman" w:eastAsia="黑体"/>
      <w:bCs/>
      <w:kern w:val="2"/>
      <w:sz w:val="32"/>
      <w:szCs w:val="22"/>
    </w:rPr>
  </w:style>
  <w:style w:type="character" w:customStyle="1" w:styleId="45">
    <w:name w:val="标题 4 字符"/>
    <w:basedOn w:val="35"/>
    <w:link w:val="6"/>
    <w:qFormat/>
    <w:uiPriority w:val="9"/>
    <w:rPr>
      <w:rFonts w:asciiTheme="majorHAnsi" w:hAnsiTheme="majorHAnsi" w:eastAsiaTheme="majorEastAsia" w:cstheme="majorBidi"/>
      <w:b/>
      <w:bCs/>
      <w:kern w:val="2"/>
      <w:sz w:val="28"/>
      <w:szCs w:val="28"/>
    </w:rPr>
  </w:style>
  <w:style w:type="character" w:customStyle="1" w:styleId="46">
    <w:name w:val="标题 5 字符"/>
    <w:basedOn w:val="35"/>
    <w:link w:val="7"/>
    <w:semiHidden/>
    <w:qFormat/>
    <w:uiPriority w:val="9"/>
    <w:rPr>
      <w:rFonts w:asciiTheme="minorHAnsi" w:hAnsiTheme="minorHAnsi" w:eastAsiaTheme="minorEastAsia" w:cstheme="minorBidi"/>
      <w:b/>
      <w:kern w:val="2"/>
      <w:sz w:val="28"/>
      <w:szCs w:val="28"/>
    </w:rPr>
  </w:style>
  <w:style w:type="character" w:customStyle="1" w:styleId="47">
    <w:name w:val="标题 6 字符"/>
    <w:basedOn w:val="35"/>
    <w:link w:val="8"/>
    <w:semiHidden/>
    <w:qFormat/>
    <w:uiPriority w:val="9"/>
    <w:rPr>
      <w:rFonts w:asciiTheme="majorHAnsi" w:hAnsiTheme="majorHAnsi" w:eastAsiaTheme="majorEastAsia" w:cstheme="majorBidi"/>
      <w:b/>
      <w:kern w:val="2"/>
      <w:sz w:val="24"/>
      <w:szCs w:val="24"/>
    </w:rPr>
  </w:style>
  <w:style w:type="character" w:customStyle="1" w:styleId="48">
    <w:name w:val="标题 7 字符"/>
    <w:basedOn w:val="35"/>
    <w:link w:val="9"/>
    <w:semiHidden/>
    <w:qFormat/>
    <w:uiPriority w:val="9"/>
    <w:rPr>
      <w:rFonts w:asciiTheme="minorHAnsi" w:hAnsiTheme="minorHAnsi" w:eastAsiaTheme="minorEastAsia" w:cstheme="minorBidi"/>
      <w:b/>
      <w:kern w:val="2"/>
      <w:sz w:val="24"/>
      <w:szCs w:val="24"/>
    </w:rPr>
  </w:style>
  <w:style w:type="character" w:customStyle="1" w:styleId="49">
    <w:name w:val="标题 8 字符"/>
    <w:basedOn w:val="35"/>
    <w:link w:val="10"/>
    <w:semiHidden/>
    <w:qFormat/>
    <w:uiPriority w:val="9"/>
    <w:rPr>
      <w:rFonts w:asciiTheme="majorHAnsi" w:hAnsiTheme="majorHAnsi" w:eastAsiaTheme="majorEastAsia" w:cstheme="majorBidi"/>
      <w:bCs/>
      <w:kern w:val="2"/>
      <w:sz w:val="24"/>
      <w:szCs w:val="24"/>
    </w:rPr>
  </w:style>
  <w:style w:type="character" w:customStyle="1" w:styleId="50">
    <w:name w:val="标题 9 字符"/>
    <w:basedOn w:val="35"/>
    <w:link w:val="11"/>
    <w:semiHidden/>
    <w:qFormat/>
    <w:uiPriority w:val="9"/>
    <w:rPr>
      <w:rFonts w:asciiTheme="majorHAnsi" w:hAnsiTheme="majorHAnsi" w:eastAsiaTheme="majorEastAsia" w:cstheme="majorBidi"/>
      <w:bCs/>
      <w:kern w:val="2"/>
      <w:sz w:val="21"/>
      <w:szCs w:val="21"/>
    </w:rPr>
  </w:style>
  <w:style w:type="character" w:customStyle="1" w:styleId="51">
    <w:name w:val="标题 字符"/>
    <w:link w:val="31"/>
    <w:qFormat/>
    <w:uiPriority w:val="10"/>
    <w:rPr>
      <w:rFonts w:ascii="Cambria" w:hAnsi="Cambria" w:eastAsia="宋体" w:cs="Times New Roman"/>
      <w:b/>
      <w:bCs/>
      <w:sz w:val="32"/>
      <w:szCs w:val="32"/>
    </w:rPr>
  </w:style>
  <w:style w:type="paragraph" w:customStyle="1" w:styleId="52">
    <w:name w:val="封面"/>
    <w:basedOn w:val="1"/>
    <w:qFormat/>
    <w:uiPriority w:val="0"/>
    <w:pPr>
      <w:spacing w:line="640" w:lineRule="exact"/>
      <w:ind w:firstLine="0" w:firstLineChars="0"/>
      <w:jc w:val="center"/>
    </w:pPr>
    <w:rPr>
      <w:rFonts w:ascii="方正小标宋简体" w:eastAsia="方正小标宋简体"/>
      <w:sz w:val="48"/>
      <w:szCs w:val="48"/>
    </w:rPr>
  </w:style>
  <w:style w:type="character" w:customStyle="1" w:styleId="53">
    <w:name w:val="批注框文本 字符"/>
    <w:link w:val="20"/>
    <w:semiHidden/>
    <w:qFormat/>
    <w:uiPriority w:val="99"/>
    <w:rPr>
      <w:rFonts w:eastAsia="仿宋"/>
      <w:sz w:val="18"/>
      <w:szCs w:val="18"/>
    </w:rPr>
  </w:style>
  <w:style w:type="character" w:customStyle="1" w:styleId="54">
    <w:name w:val="页眉 字符"/>
    <w:link w:val="22"/>
    <w:autoRedefine/>
    <w:qFormat/>
    <w:uiPriority w:val="99"/>
    <w:rPr>
      <w:rFonts w:eastAsia="仿宋"/>
      <w:sz w:val="18"/>
      <w:szCs w:val="18"/>
    </w:rPr>
  </w:style>
  <w:style w:type="character" w:customStyle="1" w:styleId="55">
    <w:name w:val="页脚 字符"/>
    <w:link w:val="21"/>
    <w:autoRedefine/>
    <w:qFormat/>
    <w:uiPriority w:val="99"/>
    <w:rPr>
      <w:rFonts w:eastAsia="仿宋"/>
      <w:sz w:val="18"/>
      <w:szCs w:val="18"/>
    </w:rPr>
  </w:style>
  <w:style w:type="paragraph" w:customStyle="1" w:styleId="56">
    <w:name w:val="图表标题"/>
    <w:basedOn w:val="57"/>
    <w:link w:val="58"/>
    <w:qFormat/>
    <w:uiPriority w:val="0"/>
    <w:pPr>
      <w:ind w:firstLine="0" w:firstLineChars="0"/>
      <w:jc w:val="center"/>
      <w:outlineLvl w:val="1"/>
    </w:pPr>
    <w:rPr>
      <w:rFonts w:ascii="黑体" w:hAnsi="黑体" w:eastAsia="黑体" w:cstheme="minorBidi"/>
      <w:sz w:val="28"/>
    </w:rPr>
  </w:style>
  <w:style w:type="paragraph" w:styleId="57">
    <w:name w:val="No Spacing"/>
    <w:qFormat/>
    <w:uiPriority w:val="1"/>
    <w:pPr>
      <w:widowControl w:val="0"/>
      <w:ind w:firstLine="200" w:firstLineChars="200"/>
      <w:jc w:val="both"/>
    </w:pPr>
    <w:rPr>
      <w:rFonts w:ascii="Calibri" w:hAnsi="Calibri" w:eastAsia="仿宋" w:cs="Times New Roman"/>
      <w:kern w:val="2"/>
      <w:sz w:val="32"/>
      <w:szCs w:val="22"/>
      <w:lang w:val="en-US" w:eastAsia="zh-CN" w:bidi="ar-SA"/>
    </w:rPr>
  </w:style>
  <w:style w:type="character" w:customStyle="1" w:styleId="58">
    <w:name w:val="图表标题 Char"/>
    <w:link w:val="56"/>
    <w:qFormat/>
    <w:uiPriority w:val="0"/>
    <w:rPr>
      <w:rFonts w:ascii="黑体" w:hAnsi="黑体" w:eastAsia="黑体" w:cstheme="minorBidi"/>
      <w:kern w:val="2"/>
      <w:sz w:val="28"/>
      <w:szCs w:val="22"/>
    </w:rPr>
  </w:style>
  <w:style w:type="character" w:customStyle="1" w:styleId="59">
    <w:name w:val="日期 字符"/>
    <w:basedOn w:val="35"/>
    <w:link w:val="19"/>
    <w:semiHidden/>
    <w:qFormat/>
    <w:uiPriority w:val="99"/>
    <w:rPr>
      <w:rFonts w:eastAsia="仿宋"/>
      <w:kern w:val="2"/>
      <w:sz w:val="32"/>
      <w:szCs w:val="22"/>
    </w:rPr>
  </w:style>
  <w:style w:type="paragraph" w:customStyle="1" w:styleId="60">
    <w:name w:val="专栏文字"/>
    <w:basedOn w:val="1"/>
    <w:link w:val="61"/>
    <w:autoRedefine/>
    <w:qFormat/>
    <w:uiPriority w:val="0"/>
    <w:pPr>
      <w:spacing w:line="400" w:lineRule="exact"/>
      <w:ind w:firstLine="480"/>
      <w:outlineLvl w:val="3"/>
    </w:pPr>
    <w:rPr>
      <w:rFonts w:cstheme="minorBidi"/>
      <w:sz w:val="24"/>
    </w:rPr>
  </w:style>
  <w:style w:type="character" w:customStyle="1" w:styleId="61">
    <w:name w:val="专栏文字 字符"/>
    <w:basedOn w:val="35"/>
    <w:link w:val="60"/>
    <w:qFormat/>
    <w:uiPriority w:val="0"/>
    <w:rPr>
      <w:rFonts w:ascii="Times New Roman" w:hAnsi="Times New Roman" w:eastAsia="仿宋_GB2312" w:cstheme="minorBidi"/>
      <w:kern w:val="2"/>
      <w:sz w:val="24"/>
      <w:szCs w:val="22"/>
    </w:rPr>
  </w:style>
  <w:style w:type="table" w:customStyle="1" w:styleId="62">
    <w:name w:val="网格型1"/>
    <w:basedOn w:val="33"/>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
    <w:name w:val="脚注文本 字符"/>
    <w:basedOn w:val="35"/>
    <w:link w:val="26"/>
    <w:semiHidden/>
    <w:qFormat/>
    <w:uiPriority w:val="99"/>
    <w:rPr>
      <w:rFonts w:ascii="仿宋" w:hAnsi="仿宋" w:eastAsia="仿宋"/>
      <w:kern w:val="2"/>
      <w:sz w:val="18"/>
      <w:szCs w:val="18"/>
    </w:rPr>
  </w:style>
  <w:style w:type="character" w:customStyle="1" w:styleId="64">
    <w:name w:val="批注文字 字符"/>
    <w:basedOn w:val="35"/>
    <w:link w:val="15"/>
    <w:qFormat/>
    <w:uiPriority w:val="99"/>
    <w:rPr>
      <w:rFonts w:ascii="仿宋" w:hAnsi="仿宋" w:eastAsia="仿宋"/>
      <w:kern w:val="2"/>
      <w:sz w:val="32"/>
      <w:szCs w:val="22"/>
    </w:rPr>
  </w:style>
  <w:style w:type="character" w:customStyle="1" w:styleId="65">
    <w:name w:val="批注主题 字符"/>
    <w:basedOn w:val="64"/>
    <w:link w:val="32"/>
    <w:autoRedefine/>
    <w:semiHidden/>
    <w:qFormat/>
    <w:uiPriority w:val="99"/>
    <w:rPr>
      <w:rFonts w:ascii="仿宋" w:hAnsi="仿宋" w:eastAsia="仿宋"/>
      <w:b/>
      <w:bCs/>
      <w:kern w:val="2"/>
      <w:sz w:val="32"/>
      <w:szCs w:val="22"/>
    </w:rPr>
  </w:style>
  <w:style w:type="paragraph" w:customStyle="1" w:styleId="66">
    <w:name w:val="封面小字"/>
    <w:basedOn w:val="1"/>
    <w:link w:val="67"/>
    <w:autoRedefine/>
    <w:qFormat/>
    <w:uiPriority w:val="0"/>
    <w:pPr>
      <w:ind w:firstLine="0" w:firstLineChars="0"/>
      <w:jc w:val="center"/>
    </w:pPr>
    <w:rPr>
      <w:rFonts w:ascii="楷体" w:hAnsi="楷体" w:eastAsia="楷体"/>
      <w:szCs w:val="32"/>
    </w:rPr>
  </w:style>
  <w:style w:type="character" w:customStyle="1" w:styleId="67">
    <w:name w:val="封面小字 字符"/>
    <w:basedOn w:val="35"/>
    <w:link w:val="66"/>
    <w:qFormat/>
    <w:uiPriority w:val="0"/>
    <w:rPr>
      <w:rFonts w:ascii="楷体" w:hAnsi="楷体" w:eastAsia="楷体"/>
      <w:kern w:val="2"/>
      <w:sz w:val="32"/>
      <w:szCs w:val="32"/>
    </w:rPr>
  </w:style>
  <w:style w:type="paragraph" w:customStyle="1" w:styleId="68">
    <w:name w:val="正文加粗强调"/>
    <w:basedOn w:val="1"/>
    <w:link w:val="69"/>
    <w:qFormat/>
    <w:uiPriority w:val="0"/>
    <w:pPr>
      <w:ind w:firstLine="200"/>
    </w:pPr>
  </w:style>
  <w:style w:type="character" w:customStyle="1" w:styleId="69">
    <w:name w:val="正文加粗强调 字符"/>
    <w:basedOn w:val="35"/>
    <w:link w:val="68"/>
    <w:qFormat/>
    <w:uiPriority w:val="0"/>
    <w:rPr>
      <w:rFonts w:ascii="Times New Roman" w:hAnsi="Times New Roman" w:eastAsia="仿宋_GB2312"/>
      <w:kern w:val="2"/>
      <w:sz w:val="32"/>
      <w:szCs w:val="22"/>
    </w:rPr>
  </w:style>
  <w:style w:type="paragraph" w:customStyle="1" w:styleId="70">
    <w:name w:val="专栏标题"/>
    <w:basedOn w:val="1"/>
    <w:link w:val="71"/>
    <w:qFormat/>
    <w:uiPriority w:val="0"/>
    <w:pPr>
      <w:spacing w:line="400" w:lineRule="exact"/>
      <w:ind w:firstLine="0" w:firstLineChars="0"/>
      <w:jc w:val="center"/>
      <w:outlineLvl w:val="3"/>
    </w:pPr>
    <w:rPr>
      <w:rFonts w:eastAsia="宋体"/>
      <w:b/>
      <w:sz w:val="24"/>
    </w:rPr>
  </w:style>
  <w:style w:type="character" w:customStyle="1" w:styleId="71">
    <w:name w:val="专栏标题 字符"/>
    <w:basedOn w:val="35"/>
    <w:link w:val="70"/>
    <w:qFormat/>
    <w:uiPriority w:val="0"/>
    <w:rPr>
      <w:rFonts w:ascii="Times New Roman" w:hAnsi="Times New Roman"/>
      <w:b/>
      <w:kern w:val="2"/>
      <w:sz w:val="24"/>
      <w:szCs w:val="22"/>
    </w:rPr>
  </w:style>
  <w:style w:type="paragraph" w:customStyle="1" w:styleId="72">
    <w:name w:val="正文楷体帽段字体"/>
    <w:basedOn w:val="1"/>
    <w:autoRedefine/>
    <w:qFormat/>
    <w:uiPriority w:val="0"/>
    <w:rPr>
      <w:rFonts w:ascii="楷体" w:hAnsi="楷体" w:eastAsia="楷体_GB2312"/>
      <w:b/>
    </w:rPr>
  </w:style>
  <w:style w:type="paragraph" w:customStyle="1" w:styleId="73">
    <w:name w:val="表格文字"/>
    <w:basedOn w:val="60"/>
    <w:link w:val="74"/>
    <w:autoRedefine/>
    <w:qFormat/>
    <w:uiPriority w:val="0"/>
    <w:pPr>
      <w:widowControl/>
      <w:spacing w:line="320" w:lineRule="exact"/>
      <w:ind w:firstLine="0" w:firstLineChars="0"/>
      <w:jc w:val="left"/>
      <w:outlineLvl w:val="9"/>
    </w:pPr>
  </w:style>
  <w:style w:type="character" w:customStyle="1" w:styleId="74">
    <w:name w:val="表格文字 字符"/>
    <w:basedOn w:val="61"/>
    <w:link w:val="73"/>
    <w:qFormat/>
    <w:uiPriority w:val="0"/>
    <w:rPr>
      <w:rFonts w:ascii="Times New Roman" w:hAnsi="Times New Roman" w:eastAsia="仿宋_GB2312" w:cstheme="minorBidi"/>
      <w:kern w:val="2"/>
      <w:sz w:val="24"/>
      <w:szCs w:val="22"/>
    </w:rPr>
  </w:style>
  <w:style w:type="paragraph" w:customStyle="1" w:styleId="75">
    <w:name w:val="附表单位"/>
    <w:basedOn w:val="73"/>
    <w:link w:val="76"/>
    <w:qFormat/>
    <w:uiPriority w:val="0"/>
    <w:pPr>
      <w:jc w:val="right"/>
    </w:pPr>
  </w:style>
  <w:style w:type="character" w:customStyle="1" w:styleId="76">
    <w:name w:val="附表单位 字符"/>
    <w:basedOn w:val="74"/>
    <w:link w:val="75"/>
    <w:autoRedefine/>
    <w:qFormat/>
    <w:uiPriority w:val="0"/>
    <w:rPr>
      <w:rFonts w:ascii="Times New Roman" w:hAnsi="Times New Roman" w:eastAsia="仿宋_GB2312" w:cstheme="minorBidi"/>
      <w:kern w:val="2"/>
      <w:sz w:val="21"/>
      <w:szCs w:val="22"/>
    </w:rPr>
  </w:style>
  <w:style w:type="character" w:customStyle="1" w:styleId="77">
    <w:name w:val="fontstyle01"/>
    <w:basedOn w:val="35"/>
    <w:qFormat/>
    <w:uiPriority w:val="0"/>
    <w:rPr>
      <w:rFonts w:hint="eastAsia" w:ascii="宋体" w:hAnsi="宋体" w:eastAsia="宋体"/>
      <w:color w:val="000000"/>
      <w:sz w:val="24"/>
      <w:szCs w:val="24"/>
    </w:rPr>
  </w:style>
  <w:style w:type="table" w:customStyle="1" w:styleId="78">
    <w:name w:val="网格型2"/>
    <w:basedOn w:val="3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_Style 67"/>
    <w:basedOn w:val="1"/>
    <w:next w:val="5"/>
    <w:autoRedefine/>
    <w:qFormat/>
    <w:uiPriority w:val="34"/>
    <w:pPr>
      <w:ind w:firstLine="420"/>
    </w:pPr>
    <w:rPr>
      <w:rFonts w:ascii="仿宋" w:hAnsi="仿宋" w:eastAsia="仿宋"/>
    </w:rPr>
  </w:style>
  <w:style w:type="paragraph" w:customStyle="1" w:styleId="80">
    <w:name w:val="Char Char Char Char"/>
    <w:basedOn w:val="1"/>
    <w:autoRedefine/>
    <w:qFormat/>
    <w:uiPriority w:val="0"/>
    <w:pPr>
      <w:spacing w:line="360" w:lineRule="auto"/>
      <w:ind w:firstLine="0" w:firstLineChars="0"/>
    </w:pPr>
    <w:rPr>
      <w:rFonts w:eastAsia="宋体"/>
      <w:sz w:val="21"/>
      <w:szCs w:val="24"/>
    </w:rPr>
  </w:style>
  <w:style w:type="table" w:customStyle="1" w:styleId="81">
    <w:name w:val="网格型3"/>
    <w:basedOn w:val="3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4"/>
    <w:basedOn w:val="3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5"/>
    <w:basedOn w:val="33"/>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表头文字"/>
    <w:basedOn w:val="85"/>
    <w:qFormat/>
    <w:uiPriority w:val="0"/>
    <w:rPr>
      <w:rFonts w:ascii="黑体" w:hAnsi="黑体" w:eastAsia="黑体"/>
    </w:rPr>
  </w:style>
  <w:style w:type="paragraph" w:customStyle="1" w:styleId="85">
    <w:name w:val="表格内容"/>
    <w:basedOn w:val="1"/>
    <w:autoRedefine/>
    <w:qFormat/>
    <w:uiPriority w:val="0"/>
    <w:pPr>
      <w:widowControl/>
      <w:spacing w:line="320" w:lineRule="exact"/>
      <w:ind w:firstLine="0" w:firstLineChars="0"/>
      <w:jc w:val="center"/>
    </w:pPr>
    <w:rPr>
      <w:rFonts w:cs="宋体"/>
      <w:bCs/>
      <w:color w:val="000000"/>
      <w:kern w:val="0"/>
      <w:sz w:val="24"/>
    </w:rPr>
  </w:style>
  <w:style w:type="paragraph" w:customStyle="1" w:styleId="86">
    <w:name w:val="附表标题"/>
    <w:basedOn w:val="56"/>
    <w:autoRedefine/>
    <w:qFormat/>
    <w:uiPriority w:val="0"/>
    <w:pPr>
      <w:spacing w:before="435" w:beforeLines="100" w:line="360" w:lineRule="auto"/>
    </w:pPr>
    <w:rPr>
      <w:sz w:val="36"/>
      <w:szCs w:val="28"/>
    </w:rPr>
  </w:style>
  <w:style w:type="paragraph" w:customStyle="1" w:styleId="87">
    <w:name w:val="附图目录"/>
    <w:basedOn w:val="1"/>
    <w:link w:val="88"/>
    <w:autoRedefine/>
    <w:qFormat/>
    <w:uiPriority w:val="0"/>
    <w:pPr>
      <w:ind w:left="200" w:hanging="200" w:hangingChars="200"/>
    </w:pPr>
  </w:style>
  <w:style w:type="character" w:customStyle="1" w:styleId="88">
    <w:name w:val="附图目录 字符"/>
    <w:basedOn w:val="35"/>
    <w:link w:val="87"/>
    <w:qFormat/>
    <w:uiPriority w:val="0"/>
    <w:rPr>
      <w:rFonts w:ascii="Times New Roman" w:hAnsi="Times New Roman" w:eastAsia="仿宋_GB2312"/>
      <w:kern w:val="2"/>
      <w:sz w:val="32"/>
      <w:szCs w:val="22"/>
    </w:rPr>
  </w:style>
  <w:style w:type="paragraph" w:customStyle="1" w:styleId="89">
    <w:name w:val="图表"/>
    <w:basedOn w:val="1"/>
    <w:autoRedefine/>
    <w:qFormat/>
    <w:uiPriority w:val="99"/>
    <w:pPr>
      <w:widowControl/>
      <w:adjustRightInd w:val="0"/>
      <w:spacing w:line="380" w:lineRule="exact"/>
      <w:ind w:firstLine="0" w:firstLineChars="0"/>
      <w:jc w:val="center"/>
    </w:pPr>
    <w:rPr>
      <w:rFonts w:ascii="宋体" w:hAnsi="Calibri" w:eastAsia="宋体"/>
      <w:b/>
      <w:kern w:val="0"/>
      <w:sz w:val="18"/>
      <w:szCs w:val="24"/>
      <w:lang w:bidi="en-US"/>
    </w:rPr>
  </w:style>
  <w:style w:type="paragraph" w:customStyle="1" w:styleId="90">
    <w:name w:val="abstract"/>
    <w:basedOn w:val="1"/>
    <w:qFormat/>
    <w:uiPriority w:val="99"/>
    <w:pPr>
      <w:widowControl/>
      <w:spacing w:before="100" w:beforeAutospacing="1" w:after="100" w:afterAutospacing="1" w:line="240" w:lineRule="auto"/>
      <w:ind w:firstLine="0" w:firstLineChars="0"/>
      <w:jc w:val="left"/>
    </w:pPr>
    <w:rPr>
      <w:rFonts w:ascii="宋体" w:hAnsi="宋体" w:eastAsia="宋体" w:cs="宋体"/>
      <w:bCs/>
      <w:kern w:val="0"/>
      <w:sz w:val="24"/>
      <w:szCs w:val="24"/>
    </w:rPr>
  </w:style>
  <w:style w:type="paragraph" w:customStyle="1" w:styleId="91">
    <w:name w:val="正文内容"/>
    <w:qFormat/>
    <w:uiPriority w:val="0"/>
    <w:pPr>
      <w:spacing w:line="360" w:lineRule="auto"/>
      <w:ind w:firstLine="200" w:firstLineChars="200"/>
    </w:pPr>
    <w:rPr>
      <w:rFonts w:ascii="宋体" w:hAnsi="宋体" w:eastAsia="宋体" w:cs="Times New Roman"/>
      <w:kern w:val="2"/>
      <w:sz w:val="24"/>
      <w:szCs w:val="24"/>
      <w:lang w:val="en-US" w:eastAsia="zh-CN" w:bidi="ar-SA"/>
    </w:rPr>
  </w:style>
  <w:style w:type="paragraph" w:customStyle="1" w:styleId="92">
    <w:name w:val="北三县专项表头"/>
    <w:basedOn w:val="1"/>
    <w:autoRedefine/>
    <w:qFormat/>
    <w:uiPriority w:val="0"/>
    <w:pPr>
      <w:widowControl/>
      <w:spacing w:line="240" w:lineRule="auto"/>
      <w:ind w:firstLine="0" w:firstLineChars="0"/>
      <w:jc w:val="center"/>
    </w:pPr>
    <w:rPr>
      <w:rFonts w:ascii="宋体" w:hAnsi="宋体" w:eastAsia="宋体" w:cs="宋体"/>
      <w:b/>
      <w:bCs/>
      <w:color w:val="000000"/>
      <w:kern w:val="0"/>
      <w:sz w:val="24"/>
    </w:rPr>
  </w:style>
  <w:style w:type="character" w:customStyle="1" w:styleId="93">
    <w:name w:val="font11"/>
    <w:basedOn w:val="35"/>
    <w:qFormat/>
    <w:uiPriority w:val="0"/>
    <w:rPr>
      <w:rFonts w:hint="eastAsia" w:ascii="仿宋_GB2312" w:eastAsia="仿宋_GB2312" w:cs="仿宋_GB2312"/>
      <w:color w:val="000000"/>
      <w:sz w:val="24"/>
      <w:szCs w:val="24"/>
      <w:u w:val="none"/>
    </w:rPr>
  </w:style>
  <w:style w:type="character" w:customStyle="1" w:styleId="94">
    <w:name w:val="文档结构图 字符"/>
    <w:basedOn w:val="35"/>
    <w:link w:val="14"/>
    <w:semiHidden/>
    <w:qFormat/>
    <w:uiPriority w:val="99"/>
    <w:rPr>
      <w:rFonts w:ascii="宋体" w:hAnsi="Times New Roman"/>
      <w:bCs/>
      <w:kern w:val="2"/>
      <w:sz w:val="18"/>
      <w:szCs w:val="18"/>
    </w:rPr>
  </w:style>
  <w:style w:type="character" w:customStyle="1" w:styleId="95">
    <w:name w:val="副标题 字符"/>
    <w:basedOn w:val="35"/>
    <w:link w:val="25"/>
    <w:autoRedefine/>
    <w:qFormat/>
    <w:uiPriority w:val="11"/>
    <w:rPr>
      <w:rFonts w:ascii="楷体_GB2312" w:hAnsi="Times New Roman" w:eastAsia="楷体_GB2312"/>
      <w:kern w:val="2"/>
      <w:sz w:val="32"/>
      <w:szCs w:val="22"/>
    </w:rPr>
  </w:style>
  <w:style w:type="paragraph" w:customStyle="1" w:styleId="96">
    <w:name w:val="正文强调"/>
    <w:basedOn w:val="1"/>
    <w:link w:val="97"/>
    <w:qFormat/>
    <w:uiPriority w:val="0"/>
    <w:rPr>
      <w:bCs/>
    </w:rPr>
  </w:style>
  <w:style w:type="character" w:customStyle="1" w:styleId="97">
    <w:name w:val="正文强调 字符"/>
    <w:basedOn w:val="35"/>
    <w:link w:val="96"/>
    <w:qFormat/>
    <w:uiPriority w:val="0"/>
    <w:rPr>
      <w:rFonts w:ascii="Times New Roman" w:hAnsi="Times New Roman" w:eastAsia="仿宋_GB2312"/>
      <w:bCs/>
      <w:kern w:val="2"/>
      <w:sz w:val="32"/>
      <w:szCs w:val="22"/>
    </w:rPr>
  </w:style>
  <w:style w:type="character" w:customStyle="1" w:styleId="98">
    <w:name w:val="图表标题 字符"/>
    <w:basedOn w:val="35"/>
    <w:autoRedefine/>
    <w:qFormat/>
    <w:uiPriority w:val="0"/>
    <w:rPr>
      <w:rFonts w:ascii="黑体" w:hAnsi="黑体" w:eastAsia="黑体" w:cs="Times New Roman"/>
      <w:kern w:val="2"/>
      <w:sz w:val="32"/>
      <w:szCs w:val="22"/>
    </w:rPr>
  </w:style>
  <w:style w:type="paragraph" w:customStyle="1" w:styleId="99">
    <w:name w:val="图标标题"/>
    <w:basedOn w:val="56"/>
    <w:autoRedefine/>
    <w:qFormat/>
    <w:uiPriority w:val="0"/>
    <w:pPr>
      <w:spacing w:line="560" w:lineRule="exact"/>
      <w:outlineLvl w:val="9"/>
    </w:pPr>
    <w:rPr>
      <w:rFonts w:cs="Times New Roman"/>
      <w:sz w:val="32"/>
    </w:rPr>
  </w:style>
  <w:style w:type="character" w:customStyle="1" w:styleId="100">
    <w:name w:val="未处理的提及1"/>
    <w:basedOn w:val="35"/>
    <w:semiHidden/>
    <w:unhideWhenUsed/>
    <w:qFormat/>
    <w:uiPriority w:val="99"/>
    <w:rPr>
      <w:color w:val="605E5C"/>
      <w:shd w:val="clear" w:color="auto" w:fill="E1DFDD"/>
    </w:rPr>
  </w:style>
  <w:style w:type="paragraph" w:customStyle="1" w:styleId="101">
    <w:name w:val="修订1"/>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02">
    <w:name w:val="强制性内容"/>
    <w:basedOn w:val="1"/>
    <w:link w:val="103"/>
    <w:autoRedefine/>
    <w:qFormat/>
    <w:uiPriority w:val="0"/>
    <w:pPr>
      <w:ind w:firstLine="640"/>
    </w:pPr>
    <w:rPr>
      <w:u w:val="single"/>
    </w:rPr>
  </w:style>
  <w:style w:type="character" w:customStyle="1" w:styleId="103">
    <w:name w:val="强制性内容 字符"/>
    <w:basedOn w:val="35"/>
    <w:link w:val="102"/>
    <w:qFormat/>
    <w:uiPriority w:val="0"/>
    <w:rPr>
      <w:rFonts w:ascii="Times New Roman" w:hAnsi="Times New Roman" w:eastAsia="仿宋_GB2312"/>
      <w:kern w:val="2"/>
      <w:sz w:val="32"/>
      <w:szCs w:val="22"/>
      <w:u w:val="single"/>
    </w:rPr>
  </w:style>
  <w:style w:type="paragraph" w:customStyle="1" w:styleId="104">
    <w:name w:val="条文标题"/>
    <w:basedOn w:val="1"/>
    <w:qFormat/>
    <w:uiPriority w:val="0"/>
    <w:pPr>
      <w:numPr>
        <w:ilvl w:val="0"/>
        <w:numId w:val="3"/>
      </w:numPr>
      <w:spacing w:before="50" w:beforeLines="50" w:line="600" w:lineRule="exact"/>
      <w:ind w:left="0" w:firstLine="200"/>
      <w:outlineLvl w:val="3"/>
    </w:pPr>
    <w:rPr>
      <w:rFonts w:ascii="楷体_GB2312" w:eastAsia="楷体_GB2312"/>
    </w:rPr>
  </w:style>
  <w:style w:type="paragraph" w:customStyle="1" w:styleId="105">
    <w:name w:val="专栏段首句"/>
    <w:basedOn w:val="60"/>
    <w:link w:val="106"/>
    <w:autoRedefine/>
    <w:qFormat/>
    <w:uiPriority w:val="0"/>
    <w:rPr>
      <w:rFonts w:ascii="楷体_GB2312" w:eastAsia="楷体_GB2312"/>
    </w:rPr>
  </w:style>
  <w:style w:type="character" w:customStyle="1" w:styleId="106">
    <w:name w:val="专栏段首句 字符"/>
    <w:basedOn w:val="61"/>
    <w:link w:val="105"/>
    <w:qFormat/>
    <w:uiPriority w:val="0"/>
    <w:rPr>
      <w:rFonts w:ascii="楷体_GB2312" w:hAnsi="Times New Roman" w:eastAsia="楷体_GB2312" w:cstheme="minorBidi"/>
      <w:kern w:val="2"/>
      <w:sz w:val="24"/>
      <w:szCs w:val="22"/>
    </w:rPr>
  </w:style>
  <w:style w:type="paragraph" w:customStyle="1" w:styleId="107">
    <w:name w:val="表格名称"/>
    <w:basedOn w:val="1"/>
    <w:link w:val="108"/>
    <w:qFormat/>
    <w:uiPriority w:val="0"/>
    <w:pPr>
      <w:spacing w:before="435" w:beforeLines="100" w:line="360" w:lineRule="auto"/>
      <w:ind w:firstLine="0" w:firstLineChars="0"/>
      <w:jc w:val="center"/>
      <w:outlineLvl w:val="3"/>
    </w:pPr>
    <w:rPr>
      <w:rFonts w:ascii="黑体" w:hAnsi="黑体" w:eastAsia="黑体"/>
    </w:rPr>
  </w:style>
  <w:style w:type="character" w:customStyle="1" w:styleId="108">
    <w:name w:val="表格名称 字符"/>
    <w:basedOn w:val="35"/>
    <w:link w:val="107"/>
    <w:qFormat/>
    <w:uiPriority w:val="0"/>
    <w:rPr>
      <w:rFonts w:ascii="黑体" w:hAnsi="黑体" w:eastAsia="黑体"/>
      <w:kern w:val="2"/>
      <w:sz w:val="32"/>
      <w:szCs w:val="22"/>
    </w:rPr>
  </w:style>
  <w:style w:type="paragraph" w:customStyle="1" w:styleId="109">
    <w:name w:val="修订2"/>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10">
    <w:name w:val="修订3"/>
    <w:hidden/>
    <w:unhideWhenUsed/>
    <w:qFormat/>
    <w:uiPriority w:val="99"/>
    <w:rPr>
      <w:rFonts w:ascii="Times New Roman" w:hAnsi="Times New Roman" w:eastAsia="仿宋_GB2312" w:cs="Times New Roman"/>
      <w:kern w:val="2"/>
      <w:sz w:val="32"/>
      <w:szCs w:val="22"/>
      <w:lang w:val="en-US" w:eastAsia="zh-CN" w:bidi="ar-SA"/>
    </w:rPr>
  </w:style>
  <w:style w:type="character" w:customStyle="1" w:styleId="111">
    <w:name w:val="题注 字符"/>
    <w:basedOn w:val="35"/>
    <w:link w:val="13"/>
    <w:autoRedefine/>
    <w:qFormat/>
    <w:uiPriority w:val="35"/>
    <w:rPr>
      <w:rFonts w:eastAsia="黑体" w:asciiTheme="majorHAnsi" w:hAnsiTheme="majorHAnsi" w:cstheme="majorBidi"/>
      <w:kern w:val="2"/>
    </w:rPr>
  </w:style>
  <w:style w:type="paragraph" w:customStyle="1" w:styleId="112">
    <w:name w:val="Revision"/>
    <w:hidden/>
    <w:unhideWhenUsed/>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254D-0700-461A-9F75-0FBF173CA3F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14660</Words>
  <Characters>14818</Characters>
  <Lines>921</Lines>
  <Paragraphs>643</Paragraphs>
  <TotalTime>242</TotalTime>
  <ScaleCrop>false</ScaleCrop>
  <LinksUpToDate>false</LinksUpToDate>
  <CharactersWithSpaces>15067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2025-03-27T11:40:00Z</dcterms:created>
  <dc:creator>a</dc:creator>
  <cp:lastModifiedBy>Lenovo</cp:lastModifiedBy>
  <cp:lastPrinted>2024-01-08T14:46:00Z</cp:lastPrinted>
  <dcterms:modified xsi:type="dcterms:W3CDTF">2025-04-25T02:33:59Z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5E9D92A688954CF7AA6DC6BAFB95C043_13</vt:lpwstr>
  </property>
  <property fmtid="{D5CDD505-2E9C-101B-9397-08002B2CF9AE}" pid="4" name="KSOTemplateDocerSaveRecord">
    <vt:lpwstr>eyJoZGlkIjoiNzEyOGZlNWYyNjJiNTJmNzUxZGRjODk1ZTI5OTc4N2YifQ==</vt:lpwstr>
  </property>
</Properties>
</file>